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楷体_GB2312" w:eastAsia="楷体_GB2312"/>
          <w:bCs/>
          <w:color w:val="000000"/>
          <w:sz w:val="30"/>
          <w:highlight w:val="none"/>
        </w:rPr>
      </w:pPr>
      <w:r>
        <w:rPr>
          <w:rFonts w:hint="eastAsia" w:ascii="宋体" w:hAnsi="宋体" w:eastAsia="宋体"/>
          <w:b/>
          <w:color w:val="000000"/>
          <w:sz w:val="30"/>
          <w:szCs w:val="30"/>
          <w:highlight w:val="none"/>
        </w:rPr>
        <w:t xml:space="preserve">        </w:t>
      </w:r>
      <w:r>
        <w:rPr>
          <w:rFonts w:hint="eastAsia" w:ascii="楷体_GB2312" w:eastAsia="楷体_GB2312"/>
          <w:bCs/>
          <w:color w:val="000000"/>
          <w:sz w:val="30"/>
          <w:highlight w:val="none"/>
        </w:rPr>
        <w:t xml:space="preserve">   </w:t>
      </w:r>
      <w:r/>
    </w:p>
    <w:p>
      <w:pPr>
        <w:pStyle w:val="1268"/>
        <w:rPr>
          <w:color w:val="000000"/>
          <w:highlight w:val="none"/>
        </w:rPr>
      </w:pPr>
      <w:r>
        <w:rPr>
          <w:color w:val="000000"/>
          <w:highlight w:val="none"/>
        </w:rPr>
      </w:r>
      <w:r/>
    </w:p>
    <w:p>
      <w:pPr>
        <w:ind w:left="660"/>
        <w:rPr>
          <w:rFonts w:ascii="楷体_GB2312" w:eastAsia="楷体_GB2312"/>
          <w:bCs/>
          <w:color w:val="000000"/>
          <w:sz w:val="30"/>
          <w:highlight w:val="none"/>
        </w:rPr>
      </w:pPr>
      <w:r>
        <w:rPr>
          <w:rFonts w:ascii="楷体_GB2312" w:eastAsia="楷体_GB2312"/>
          <w:bCs/>
          <w:color w:val="000000"/>
          <w:sz w:val="30"/>
          <w:highlight w:val="none"/>
        </w:rPr>
      </w:r>
      <w:r/>
    </w:p>
    <w:p>
      <w:pPr>
        <w:pStyle w:val="1277"/>
        <w:jc w:val="center"/>
        <w:rPr>
          <w:rFonts w:hAnsi="宋体"/>
          <w:b/>
          <w:color w:val="000000"/>
          <w:sz w:val="96"/>
          <w:szCs w:val="96"/>
          <w:highlight w:val="none"/>
        </w:rPr>
      </w:pPr>
      <w:r>
        <w:rPr>
          <w:rFonts w:hint="eastAsia" w:hAnsi="宋体"/>
          <w:b/>
          <w:color w:val="000000"/>
          <w:sz w:val="96"/>
          <w:szCs w:val="96"/>
          <w:highlight w:val="none"/>
        </w:rPr>
        <w:t xml:space="preserve">锡山区</w:t>
      </w:r>
      <w:r>
        <w:rPr>
          <w:rFonts w:hAnsi="宋体"/>
          <w:b/>
          <w:color w:val="000000"/>
          <w:sz w:val="96"/>
          <w:szCs w:val="96"/>
          <w:highlight w:val="none"/>
        </w:rPr>
        <w:t xml:space="preserve">政府采购</w:t>
      </w:r>
      <w:r/>
    </w:p>
    <w:p>
      <w:pPr>
        <w:pStyle w:val="1268"/>
        <w:rPr>
          <w:color w:val="000000"/>
          <w:highlight w:val="none"/>
        </w:rPr>
      </w:pPr>
      <w:r>
        <w:rPr>
          <w:color w:val="000000"/>
          <w:highlight w:val="none"/>
        </w:rPr>
      </w:r>
      <w:r/>
    </w:p>
    <w:p>
      <w:pPr>
        <w:pStyle w:val="1277"/>
        <w:jc w:val="center"/>
        <w:rPr>
          <w:rFonts w:hAnsi="宋体"/>
          <w:b/>
          <w:color w:val="000000"/>
          <w:sz w:val="72"/>
          <w:szCs w:val="72"/>
          <w:highlight w:val="none"/>
        </w:rPr>
      </w:pPr>
      <w:r>
        <w:rPr>
          <w:rFonts w:hint="eastAsia" w:hAnsi="宋体"/>
          <w:b/>
          <w:color w:val="000000"/>
          <w:sz w:val="72"/>
          <w:szCs w:val="72"/>
          <w:highlight w:val="none"/>
        </w:rPr>
        <w:t xml:space="preserve">公开招标</w:t>
      </w:r>
      <w:r>
        <w:rPr>
          <w:rFonts w:hAnsi="宋体"/>
          <w:b/>
          <w:color w:val="000000"/>
          <w:sz w:val="72"/>
          <w:szCs w:val="72"/>
          <w:highlight w:val="none"/>
        </w:rPr>
        <w:t xml:space="preserve">文</w:t>
      </w:r>
      <w:r>
        <w:rPr>
          <w:rFonts w:hint="eastAsia" w:hAnsi="宋体"/>
          <w:b/>
          <w:color w:val="000000"/>
          <w:sz w:val="72"/>
          <w:szCs w:val="72"/>
          <w:highlight w:val="none"/>
        </w:rPr>
        <w:t xml:space="preserve">件</w:t>
      </w:r>
      <w:r/>
    </w:p>
    <w:p>
      <w:pPr>
        <w:rPr>
          <w:rFonts w:ascii="宋体" w:hAnsi="宋体"/>
          <w:b/>
          <w:color w:val="000000"/>
          <w:sz w:val="28"/>
          <w:szCs w:val="28"/>
          <w:highlight w:val="none"/>
        </w:rPr>
      </w:pPr>
      <w:r>
        <w:rPr>
          <w:rFonts w:ascii="宋体" w:hAnsi="宋体"/>
          <w:b/>
          <w:color w:val="000000"/>
          <w:sz w:val="28"/>
          <w:szCs w:val="28"/>
          <w:highlight w:val="none"/>
        </w:rPr>
      </w:r>
      <w:r/>
    </w:p>
    <w:p>
      <w:pPr>
        <w:jc w:val="center"/>
        <w:rPr>
          <w:rFonts w:ascii="宋体" w:hAnsi="宋体"/>
          <w:b/>
          <w:bCs/>
          <w:color w:val="000000"/>
          <w:sz w:val="28"/>
          <w:szCs w:val="28"/>
          <w:highlight w:val="none"/>
        </w:rPr>
      </w:pPr>
      <w:r>
        <w:rPr>
          <w:rFonts w:hint="eastAsia" w:ascii="宋体" w:hAnsi="宋体"/>
          <w:b/>
          <w:bCs/>
          <w:color w:val="000000"/>
          <w:sz w:val="28"/>
          <w:szCs w:val="28"/>
          <w:highlight w:val="none"/>
        </w:rPr>
        <w:t xml:space="preserve">（全流程电子化）</w:t>
      </w:r>
      <w:r/>
    </w:p>
    <w:p>
      <w:pPr>
        <w:jc w:val="left"/>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69"/>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69"/>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69"/>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69"/>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ind w:left="2149" w:hanging="2149"/>
        <w:jc w:val="left"/>
        <w:spacing w:line="360" w:lineRule="auto"/>
        <w:rPr>
          <w:rFonts w:hint="default" w:ascii="宋体" w:hAnsi="宋体" w:eastAsia="宋体" w:cs="宋体"/>
          <w:b/>
          <w:bCs/>
          <w:color w:val="000000"/>
          <w:sz w:val="32"/>
          <w:szCs w:val="32"/>
          <w:highlight w:val="none"/>
          <w:lang w:val="en-US" w:eastAsia="zh-CN"/>
        </w:rPr>
        <w:outlineLvl w:val="0"/>
      </w:pPr>
      <w:r>
        <w:rPr>
          <w:rFonts w:hint="eastAsia" w:ascii="宋体" w:hAnsi="宋体" w:eastAsia="宋体" w:cs="宋体"/>
          <w:b/>
          <w:color w:val="000000"/>
          <w:spacing w:val="108"/>
          <w:sz w:val="32"/>
          <w:szCs w:val="32"/>
          <w:highlight w:val="none"/>
        </w:rPr>
        <w:t xml:space="preserve">项目名</w:t>
      </w:r>
      <w:r>
        <w:rPr>
          <w:rFonts w:hint="eastAsia" w:ascii="宋体" w:hAnsi="宋体" w:eastAsia="宋体" w:cs="宋体"/>
          <w:b/>
          <w:color w:val="000000"/>
          <w:sz w:val="32"/>
          <w:szCs w:val="32"/>
          <w:highlight w:val="none"/>
        </w:rPr>
        <w:t xml:space="preserve">称：</w:t>
      </w:r>
      <w:r>
        <w:rPr>
          <w:rFonts w:hint="eastAsia" w:ascii="宋体" w:hAnsi="宋体" w:eastAsia="宋体" w:cs="宋体"/>
          <w:b/>
          <w:color w:val="000000"/>
          <w:sz w:val="32"/>
          <w:szCs w:val="32"/>
          <w:highlight w:val="none"/>
          <w:lang w:val="en-US" w:eastAsia="zh-CN"/>
        </w:rPr>
        <w:t xml:space="preserve">东亭街道安置房小区老旧电梯更新项目</w:t>
      </w:r>
      <w:r/>
    </w:p>
    <w:p>
      <w:pPr>
        <w:jc w:val="left"/>
        <w:spacing w:line="360" w:lineRule="auto"/>
        <w:rPr>
          <w:rFonts w:hint="eastAsia" w:ascii="宋体" w:hAnsi="宋体" w:eastAsia="宋体" w:cs="宋体"/>
          <w:b/>
          <w:bCs/>
          <w:color w:val="000000"/>
          <w:spacing w:val="108"/>
          <w:sz w:val="32"/>
          <w:szCs w:val="32"/>
          <w:highlight w:val="yellow"/>
          <w:lang w:eastAsia="zh-CN"/>
        </w:rPr>
      </w:pPr>
      <w:r>
        <w:rPr>
          <w:rFonts w:hint="eastAsia" w:ascii="宋体" w:hAnsi="宋体" w:eastAsia="宋体" w:cs="宋体"/>
          <w:b/>
          <w:color w:val="000000"/>
          <w:spacing w:val="108"/>
          <w:sz w:val="32"/>
          <w:szCs w:val="32"/>
          <w:highlight w:val="none"/>
        </w:rPr>
        <w:t xml:space="preserve">项目编</w:t>
      </w:r>
      <w:r>
        <w:rPr>
          <w:rFonts w:hint="eastAsia" w:ascii="宋体" w:hAnsi="宋体" w:eastAsia="宋体" w:cs="宋体"/>
          <w:b/>
          <w:color w:val="000000"/>
          <w:sz w:val="32"/>
          <w:szCs w:val="32"/>
          <w:highlight w:val="none"/>
        </w:rPr>
        <w:t xml:space="preserve">号：</w:t>
      </w:r>
      <w:r>
        <w:rPr>
          <w:rFonts w:hint="eastAsia" w:ascii="宋体" w:hAnsi="宋体" w:eastAsia="宋体" w:cs="宋体"/>
          <w:b/>
          <w:bCs/>
          <w:color w:val="000000"/>
          <w:sz w:val="32"/>
          <w:szCs w:val="32"/>
          <w:highlight w:val="none"/>
          <w:lang w:eastAsia="zh-CN"/>
        </w:rPr>
        <w:t xml:space="preserve">JSZC-320205-JZCG-G2026-0024</w:t>
      </w:r>
      <w:r/>
    </w:p>
    <w:p>
      <w:pPr>
        <w:jc w:val="left"/>
        <w:spacing w:line="360" w:lineRule="auto"/>
        <w:rPr>
          <w:rFonts w:hint="default" w:ascii="宋体" w:hAnsi="宋体" w:eastAsia="宋体" w:cs="宋体"/>
          <w:b/>
          <w:bCs/>
          <w:color w:val="000000"/>
          <w:sz w:val="32"/>
          <w:szCs w:val="32"/>
          <w:highlight w:val="none"/>
          <w:lang w:val="en-US" w:eastAsia="zh-CN"/>
        </w:rPr>
        <w:outlineLvl w:val="0"/>
      </w:pPr>
      <w:r>
        <w:rPr>
          <w:rFonts w:hint="eastAsia" w:ascii="宋体" w:hAnsi="宋体" w:eastAsia="宋体" w:cs="宋体"/>
          <w:b/>
          <w:bCs/>
          <w:color w:val="000000"/>
          <w:spacing w:val="108"/>
          <w:sz w:val="32"/>
          <w:szCs w:val="32"/>
          <w:highlight w:val="none"/>
        </w:rPr>
        <w:t xml:space="preserve">采购单</w:t>
      </w:r>
      <w:r>
        <w:rPr>
          <w:rFonts w:hint="eastAsia" w:ascii="宋体" w:hAnsi="宋体" w:eastAsia="宋体" w:cs="宋体"/>
          <w:b/>
          <w:bCs/>
          <w:color w:val="000000"/>
          <w:sz w:val="32"/>
          <w:szCs w:val="32"/>
          <w:highlight w:val="none"/>
        </w:rPr>
        <w:t xml:space="preserve">位：</w:t>
      </w:r>
      <w:r>
        <w:rPr>
          <w:rFonts w:hint="eastAsia" w:ascii="宋体" w:hAnsi="宋体" w:eastAsia="宋体" w:cs="宋体"/>
          <w:b/>
          <w:bCs/>
          <w:sz w:val="32"/>
          <w:szCs w:val="32"/>
          <w:highlight w:val="none"/>
          <w:lang w:val="en-US" w:eastAsia="zh-CN"/>
        </w:rPr>
        <w:t xml:space="preserve">无锡市锡山区人民政府东亭街道办事处</w:t>
      </w:r>
      <w:r/>
    </w:p>
    <w:p>
      <w:pP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集中采购机构：无锡市公共资源交易中心锡山分中心</w:t>
      </w:r>
      <w:r/>
    </w:p>
    <w:p>
      <w:pPr>
        <w:rPr>
          <w:rFonts w:ascii="宋体" w:hAnsi="宋体"/>
          <w:b/>
          <w:color w:val="000000"/>
          <w:sz w:val="28"/>
          <w:szCs w:val="28"/>
          <w:highlight w:val="none"/>
        </w:rPr>
      </w:pPr>
      <w:r>
        <w:rPr>
          <w:rFonts w:ascii="宋体" w:hAnsi="宋体"/>
          <w:b/>
          <w:color w:val="000000"/>
          <w:sz w:val="28"/>
          <w:szCs w:val="28"/>
          <w:highlight w:val="none"/>
        </w:rPr>
      </w:r>
      <w:r/>
    </w:p>
    <w:p>
      <w:pPr>
        <w:jc w:val="center"/>
        <w:rPr>
          <w:rFonts w:ascii="宋体" w:hAnsi="宋体"/>
          <w:b/>
          <w:color w:val="000000"/>
          <w:sz w:val="40"/>
          <w:szCs w:val="40"/>
          <w:highlight w:val="none"/>
        </w:rPr>
      </w:pPr>
      <w:r>
        <w:rPr>
          <w:rFonts w:hint="eastAsia" w:ascii="宋体" w:hAnsi="宋体"/>
          <w:b/>
          <w:color w:val="000000"/>
          <w:sz w:val="40"/>
          <w:szCs w:val="40"/>
          <w:highlight w:val="none"/>
          <w:lang w:eastAsia="zh-CN"/>
        </w:rPr>
        <w:t xml:space="preserve">二〇二</w:t>
      </w:r>
      <w:r>
        <w:rPr>
          <w:rFonts w:hint="eastAsia" w:ascii="宋体" w:hAnsi="宋体"/>
          <w:b/>
          <w:color w:val="000000"/>
          <w:sz w:val="40"/>
          <w:szCs w:val="40"/>
          <w:highlight w:val="none"/>
          <w:lang w:val="en-US" w:eastAsia="zh-CN"/>
        </w:rPr>
        <w:t xml:space="preserve">六</w:t>
      </w:r>
      <w:r>
        <w:rPr>
          <w:rFonts w:ascii="宋体" w:hAnsi="宋体"/>
          <w:b/>
          <w:color w:val="000000"/>
          <w:sz w:val="40"/>
          <w:szCs w:val="40"/>
          <w:highlight w:val="none"/>
        </w:rPr>
        <w:t xml:space="preserve">年</w:t>
      </w:r>
      <w:r>
        <w:rPr>
          <w:rFonts w:hint="eastAsia" w:ascii="宋体" w:hAnsi="宋体"/>
          <w:b/>
          <w:color w:val="000000"/>
          <w:sz w:val="40"/>
          <w:szCs w:val="40"/>
          <w:highlight w:val="none"/>
          <w:lang w:val="en-US" w:eastAsia="zh-CN"/>
        </w:rPr>
        <w:t xml:space="preserve">五</w:t>
      </w:r>
      <w:r>
        <w:rPr>
          <w:rFonts w:ascii="宋体" w:hAnsi="宋体"/>
          <w:b/>
          <w:color w:val="000000"/>
          <w:sz w:val="40"/>
          <w:szCs w:val="40"/>
          <w:highlight w:val="none"/>
        </w:rPr>
        <w:t xml:space="preserve">月</w:t>
      </w:r>
      <w:r>
        <w:rPr>
          <w:rFonts w:hint="eastAsia" w:ascii="宋体" w:hAnsi="宋体"/>
          <w:b/>
          <w:color w:val="000000"/>
          <w:sz w:val="40"/>
          <w:szCs w:val="40"/>
          <w:highlight w:val="none"/>
          <w:lang w:val="en-US" w:eastAsia="zh-CN"/>
        </w:rPr>
        <w:t xml:space="preserve">二十六</w:t>
      </w:r>
      <w:r>
        <w:rPr>
          <w:rFonts w:hint="eastAsia" w:ascii="宋体" w:hAnsi="宋体"/>
          <w:b/>
          <w:color w:val="000000"/>
          <w:sz w:val="40"/>
          <w:szCs w:val="40"/>
          <w:highlight w:val="none"/>
        </w:rPr>
        <w:t xml:space="preserve">日</w:t>
      </w:r>
      <w:r/>
    </w:p>
    <w:p>
      <w:pPr>
        <w:rPr>
          <w:rStyle w:val="1310"/>
          <w:rFonts w:eastAsia="黑体"/>
          <w:bCs/>
          <w:sz w:val="48"/>
          <w:highlight w:val="none"/>
        </w:rPr>
      </w:pPr>
      <w:r>
        <w:rPr>
          <w:rFonts w:eastAsia="黑体"/>
          <w:bCs/>
          <w:sz w:val="48"/>
          <w:highlight w:val="none"/>
        </w:rPr>
      </w:r>
      <w:r/>
    </w:p>
    <w:p>
      <w:pPr>
        <w:rPr>
          <w:rStyle w:val="1310"/>
          <w:rFonts w:eastAsia="黑体"/>
          <w:bCs/>
          <w:sz w:val="48"/>
          <w:highlight w:val="none"/>
        </w:rPr>
      </w:pPr>
      <w:r>
        <w:rPr>
          <w:rFonts w:eastAsia="黑体"/>
          <w:bCs/>
          <w:sz w:val="48"/>
          <w:highlight w:val="none"/>
        </w:rPr>
      </w:r>
      <w:r/>
    </w:p>
    <w:p>
      <w:pPr>
        <w:rPr>
          <w:rStyle w:val="1310"/>
          <w:rFonts w:eastAsia="黑体"/>
          <w:bCs/>
          <w:sz w:val="48"/>
          <w:highlight w:val="none"/>
        </w:rPr>
        <w:sectPr>
          <w:headerReference w:type="default" r:id="rId9"/>
          <w:footerReference w:type="default" r:id="rId16"/>
          <w:footnotePr/>
          <w:endnotePr/>
          <w:type w:val="nextPage"/>
          <w:pgSz w:w="11906" w:h="16838" w:orient="portrait"/>
          <w:pgMar w:top="1440" w:right="1417" w:bottom="1440" w:left="1417" w:header="851" w:footer="992" w:gutter="0"/>
          <w:cols w:num="1" w:sep="0" w:space="425" w:equalWidth="1"/>
          <w:docGrid w:linePitch="360"/>
        </w:sectPr>
      </w:pPr>
      <w:r>
        <w:rPr>
          <w:rFonts w:eastAsia="黑体"/>
          <w:bCs/>
          <w:sz w:val="48"/>
          <w:highlight w:val="none"/>
        </w:rPr>
      </w:r>
      <w:r/>
    </w:p>
    <w:p>
      <w:pPr>
        <w:rPr>
          <w:rStyle w:val="1310"/>
          <w:rFonts w:eastAsia="黑体"/>
          <w:bCs/>
          <w:sz w:val="48"/>
          <w:highlight w:val="none"/>
        </w:rPr>
      </w:pPr>
      <w:r>
        <w:rPr>
          <w:rFonts w:eastAsia="黑体"/>
          <w:bCs/>
          <w:sz w:val="48"/>
          <w:highlight w:val="none"/>
        </w:rPr>
      </w:r>
      <w:r/>
    </w:p>
    <w:p>
      <w:pPr>
        <w:jc w:val="center"/>
        <w:rPr>
          <w:b/>
          <w:color w:val="000000"/>
          <w:sz w:val="32"/>
          <w:szCs w:val="32"/>
          <w:highlight w:val="none"/>
        </w:rPr>
      </w:pPr>
      <w:r>
        <w:rPr>
          <w:b/>
          <w:color w:val="000000"/>
          <w:sz w:val="52"/>
          <w:szCs w:val="52"/>
          <w:highlight w:val="none"/>
        </w:rPr>
        <w:t xml:space="preserve">目    录</w:t>
      </w:r>
      <w:r/>
    </w:p>
    <w:p>
      <w:pPr>
        <w:pStyle w:val="1268"/>
        <w:rPr>
          <w:color w:val="000000"/>
          <w:highlight w:val="none"/>
        </w:rPr>
      </w:pPr>
      <w:r>
        <w:rPr>
          <w:color w:val="000000"/>
          <w:highlight w:val="none"/>
        </w:rPr>
      </w:r>
      <w:r/>
    </w:p>
    <w:p>
      <w:pPr>
        <w:pStyle w:val="1290"/>
        <w:jc w:val="both"/>
        <w:rPr>
          <w:rFonts w:ascii="宋体" w:hAnsi="宋体" w:eastAsia="宋体"/>
          <w:bCs/>
          <w:color w:val="000000"/>
          <w:highlight w:val="none"/>
        </w:rPr>
      </w:pPr>
      <w:r>
        <w:rPr>
          <w:rFonts w:hint="eastAsia" w:ascii="宋体" w:hAnsi="宋体" w:eastAsia="宋体"/>
          <w:bCs/>
          <w:color w:val="000000"/>
          <w:highlight w:val="none"/>
        </w:rPr>
        <w:t xml:space="preserve">一、投标邀请函...................................3</w:t>
      </w:r>
      <w:r/>
    </w:p>
    <w:p>
      <w:pPr>
        <w:pStyle w:val="1290"/>
        <w:rPr>
          <w:rFonts w:ascii="宋体" w:hAnsi="宋体" w:eastAsia="宋体"/>
          <w:bCs/>
          <w:color w:val="000000"/>
          <w:highlight w:val="none"/>
        </w:rPr>
      </w:pPr>
      <w:r>
        <w:rPr>
          <w:rFonts w:ascii="宋体" w:hAnsi="宋体" w:eastAsia="宋体"/>
          <w:bCs/>
          <w:color w:val="000000"/>
          <w:highlight w:val="none"/>
        </w:rPr>
      </w:r>
      <w:r/>
    </w:p>
    <w:p>
      <w:pPr>
        <w:pStyle w:val="1290"/>
        <w:jc w:val="both"/>
        <w:rPr>
          <w:rFonts w:hint="eastAsia" w:ascii="宋体" w:hAnsi="宋体" w:eastAsia="宋体"/>
          <w:bCs/>
          <w:color w:val="000000"/>
          <w:highlight w:val="none"/>
          <w:lang w:val="en-US" w:eastAsia="zh-CN"/>
        </w:rPr>
      </w:pPr>
      <w:r>
        <w:rPr>
          <w:rFonts w:hint="eastAsia" w:ascii="宋体" w:hAnsi="宋体" w:eastAsia="宋体"/>
          <w:bCs/>
          <w:color w:val="000000"/>
          <w:highlight w:val="none"/>
        </w:rPr>
        <w:t xml:space="preserve">二、供应商须知...................................</w:t>
      </w:r>
      <w:r>
        <w:rPr>
          <w:rFonts w:hint="eastAsia" w:ascii="宋体" w:hAnsi="宋体" w:eastAsia="宋体"/>
          <w:bCs/>
          <w:color w:val="000000"/>
          <w:highlight w:val="none"/>
          <w:lang w:val="en-US" w:eastAsia="zh-CN"/>
        </w:rPr>
        <w:t xml:space="preserve">6</w:t>
      </w:r>
      <w:r/>
    </w:p>
    <w:p>
      <w:pPr>
        <w:pStyle w:val="1290"/>
        <w:rPr>
          <w:rFonts w:ascii="宋体" w:hAnsi="宋体" w:eastAsia="宋体"/>
          <w:bCs/>
          <w:color w:val="000000"/>
          <w:highlight w:val="none"/>
        </w:rPr>
      </w:pPr>
      <w:r>
        <w:rPr>
          <w:rFonts w:ascii="宋体" w:hAnsi="宋体" w:eastAsia="宋体"/>
          <w:bCs/>
          <w:color w:val="000000"/>
          <w:highlight w:val="none"/>
        </w:rPr>
      </w:r>
      <w:r/>
    </w:p>
    <w:p>
      <w:pPr>
        <w:pStyle w:val="1290"/>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三、项目要求和有关说明..........................</w:t>
      </w:r>
      <w:r>
        <w:rPr>
          <w:rFonts w:hint="eastAsia" w:ascii="宋体" w:hAnsi="宋体" w:eastAsia="宋体"/>
          <w:bCs/>
          <w:color w:val="000000"/>
          <w:highlight w:val="none"/>
          <w:lang w:val="en-US" w:eastAsia="zh-CN"/>
        </w:rPr>
        <w:t xml:space="preserve">21</w:t>
      </w:r>
      <w:r/>
    </w:p>
    <w:p>
      <w:pPr>
        <w:pStyle w:val="1290"/>
        <w:rPr>
          <w:rFonts w:ascii="宋体" w:hAnsi="宋体" w:eastAsia="宋体"/>
          <w:bCs/>
          <w:color w:val="000000"/>
          <w:highlight w:val="none"/>
        </w:rPr>
      </w:pPr>
      <w:r>
        <w:rPr>
          <w:rFonts w:ascii="宋体" w:hAnsi="宋体" w:eastAsia="宋体"/>
          <w:bCs/>
          <w:color w:val="000000"/>
          <w:highlight w:val="none"/>
        </w:rPr>
      </w:r>
      <w:r/>
    </w:p>
    <w:p>
      <w:pPr>
        <w:pStyle w:val="1290"/>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四、政府采购货物买卖合同（试行）................</w:t>
      </w:r>
      <w:r>
        <w:rPr>
          <w:rFonts w:hint="eastAsia" w:ascii="宋体" w:hAnsi="宋体" w:eastAsia="宋体"/>
          <w:bCs/>
          <w:color w:val="000000"/>
          <w:highlight w:val="none"/>
          <w:lang w:val="en-US" w:eastAsia="zh-CN"/>
        </w:rPr>
        <w:t xml:space="preserve">48</w:t>
      </w:r>
      <w:r/>
    </w:p>
    <w:p>
      <w:pPr>
        <w:pStyle w:val="1290"/>
        <w:ind w:firstLine="320"/>
        <w:jc w:val="both"/>
        <w:rPr>
          <w:rFonts w:ascii="宋体" w:hAnsi="宋体" w:eastAsia="宋体"/>
          <w:bCs/>
          <w:color w:val="000000"/>
          <w:highlight w:val="none"/>
        </w:rPr>
      </w:pPr>
      <w:r>
        <w:rPr>
          <w:rFonts w:ascii="宋体" w:hAnsi="宋体" w:eastAsia="宋体"/>
          <w:bCs/>
          <w:color w:val="000000"/>
          <w:highlight w:val="none"/>
        </w:rPr>
      </w:r>
      <w:r/>
    </w:p>
    <w:p>
      <w:pPr>
        <w:pStyle w:val="1290"/>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五、附件........................................</w:t>
      </w:r>
      <w:r>
        <w:rPr>
          <w:rFonts w:hint="eastAsia" w:ascii="宋体" w:hAnsi="宋体" w:eastAsia="宋体"/>
          <w:bCs/>
          <w:color w:val="000000"/>
          <w:highlight w:val="none"/>
          <w:lang w:val="en-US" w:eastAsia="zh-CN"/>
        </w:rPr>
        <w:t xml:space="preserve">75</w:t>
      </w:r>
      <w:r/>
    </w:p>
    <w:p>
      <w:pPr>
        <w:pStyle w:val="1268"/>
        <w:rPr>
          <w:color w:val="000000"/>
          <w:highlight w:val="none"/>
        </w:rPr>
      </w:pPr>
      <w:r>
        <w:rPr>
          <w:color w:val="000000"/>
          <w:highlight w:val="none"/>
        </w:rPr>
      </w:r>
      <w:r/>
    </w:p>
    <w:p>
      <w:pPr>
        <w:pStyle w:val="1290"/>
        <w:rPr>
          <w:rFonts w:ascii="宋体" w:hAnsi="宋体" w:eastAsia="宋体"/>
          <w:bCs/>
          <w:color w:val="000000"/>
          <w:highlight w:val="none"/>
        </w:rPr>
      </w:pPr>
      <w:r>
        <w:rPr>
          <w:rFonts w:ascii="宋体" w:hAnsi="宋体" w:eastAsia="宋体"/>
          <w:bCs/>
          <w:color w:val="000000"/>
          <w:highlight w:val="none"/>
        </w:rPr>
      </w:r>
      <w:r/>
    </w:p>
    <w:p>
      <w:pPr>
        <w:pStyle w:val="1290"/>
        <w:rPr>
          <w:rFonts w:ascii="宋体" w:hAnsi="宋体" w:eastAsia="宋体"/>
          <w:bCs/>
          <w:color w:val="000000"/>
          <w:highlight w:val="none"/>
        </w:rPr>
      </w:pPr>
      <w:r>
        <w:rPr>
          <w:rFonts w:ascii="宋体" w:hAnsi="宋体" w:eastAsia="宋体"/>
          <w:bCs/>
          <w:color w:val="000000"/>
          <w:highlight w:val="none"/>
        </w:rPr>
      </w:r>
      <w:r/>
    </w:p>
    <w:p>
      <w:pPr>
        <w:pStyle w:val="1290"/>
        <w:rPr>
          <w:rFonts w:ascii="宋体" w:hAnsi="宋体" w:eastAsia="宋体"/>
          <w:bCs/>
          <w:color w:val="000000"/>
          <w:highlight w:val="none"/>
        </w:rPr>
      </w:pPr>
      <w:r>
        <w:rPr>
          <w:rFonts w:ascii="宋体" w:hAnsi="宋体" w:eastAsia="宋体"/>
          <w:bCs/>
          <w:color w:val="000000"/>
          <w:highlight w:val="none"/>
        </w:rPr>
      </w:r>
      <w:r/>
    </w:p>
    <w:p>
      <w:pPr>
        <w:spacing w:line="480" w:lineRule="auto"/>
        <w:rPr>
          <w:rStyle w:val="1316"/>
          <w:rFonts w:ascii="宋体" w:hAnsi="宋体" w:eastAsia="宋体"/>
          <w:b/>
          <w:smallCaps/>
          <w:color w:val="000000"/>
          <w:sz w:val="24"/>
          <w:highlight w:val="none"/>
        </w:rPr>
      </w:pPr>
      <w:r>
        <w:rPr>
          <w:rFonts w:ascii="宋体" w:hAnsi="宋体" w:eastAsia="宋体"/>
          <w:b/>
          <w:smallCaps/>
          <w:color w:val="000000"/>
          <w:sz w:val="24"/>
          <w:highlight w:val="none"/>
        </w:rPr>
      </w:r>
      <w:r/>
    </w:p>
    <w:p>
      <w:pPr>
        <w:pStyle w:val="1068"/>
        <w:rPr>
          <w:rStyle w:val="1316"/>
          <w:rFonts w:ascii="宋体" w:hAnsi="宋体" w:eastAsia="宋体"/>
          <w:b/>
          <w:bCs/>
          <w:smallCaps/>
          <w:color w:val="000000"/>
          <w:sz w:val="24"/>
          <w:szCs w:val="24"/>
          <w:highlight w:val="none"/>
        </w:rPr>
        <w:sectPr>
          <w:footnotePr/>
          <w:endnotePr/>
          <w:type w:val="nextPage"/>
          <w:pgSz w:w="11906" w:h="16838" w:orient="portrait"/>
          <w:pgMar w:top="1440" w:right="1417" w:bottom="1440" w:left="1417" w:header="851" w:footer="992" w:gutter="0"/>
          <w:cols w:num="1" w:sep="0" w:space="425" w:equalWidth="1"/>
          <w:docGrid w:linePitch="360"/>
        </w:sectPr>
      </w:pPr>
      <w:r>
        <w:rPr>
          <w:rFonts w:ascii="宋体" w:hAnsi="宋体" w:eastAsia="宋体"/>
          <w:b/>
          <w:bCs/>
          <w:smallCaps/>
          <w:color w:val="000000"/>
          <w:sz w:val="24"/>
          <w:szCs w:val="24"/>
          <w:highlight w:val="none"/>
        </w:rPr>
      </w:r>
      <w:r/>
    </w:p>
    <w:p>
      <w:pPr>
        <w:numPr>
          <w:ilvl w:val="0"/>
          <w:numId w:val="2"/>
        </w:numPr>
        <w:jc w:val="center"/>
        <w:spacing w:line="360" w:lineRule="auto"/>
        <w:rPr>
          <w:rFonts w:ascii="黑体" w:eastAsia="黑体"/>
          <w:bCs/>
          <w:color w:val="000000"/>
          <w:sz w:val="36"/>
          <w:szCs w:val="36"/>
          <w:highlight w:val="none"/>
        </w:rPr>
      </w:pPr>
      <w:r>
        <w:rPr>
          <w:rFonts w:hint="eastAsia" w:ascii="黑体" w:eastAsia="黑体"/>
          <w:bCs/>
          <w:color w:val="000000"/>
          <w:sz w:val="36"/>
          <w:szCs w:val="36"/>
          <w:highlight w:val="none"/>
        </w:rPr>
        <w:t xml:space="preserve">投标邀请函</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无锡市公共资源交易中心锡山分中心受</w:t>
      </w:r>
      <w:r>
        <w:rPr>
          <w:rFonts w:hint="eastAsia" w:ascii="宋体" w:hAnsi="宋体" w:eastAsia="宋体" w:cs="宋体"/>
          <w:bCs/>
          <w:color w:val="000000"/>
          <w:sz w:val="24"/>
          <w:szCs w:val="24"/>
          <w:highlight w:val="none"/>
          <w:lang w:eastAsia="zh-CN"/>
        </w:rPr>
        <w:t xml:space="preserve">无锡市锡山区人民政府东亭街道办事处</w:t>
      </w:r>
      <w:r>
        <w:rPr>
          <w:rFonts w:hint="eastAsia" w:ascii="宋体" w:hAnsi="宋体" w:eastAsia="宋体" w:cs="宋体"/>
          <w:bCs/>
          <w:color w:val="000000"/>
          <w:sz w:val="24"/>
          <w:szCs w:val="24"/>
          <w:highlight w:val="none"/>
        </w:rPr>
        <w:t xml:space="preserve">的委托，对</w:t>
      </w:r>
      <w:r>
        <w:rPr>
          <w:rFonts w:hint="eastAsia" w:ascii="宋体" w:hAnsi="宋体" w:eastAsia="宋体" w:cs="宋体"/>
          <w:bCs/>
          <w:color w:val="000000"/>
          <w:sz w:val="24"/>
          <w:szCs w:val="24"/>
          <w:highlight w:val="none"/>
          <w:lang w:eastAsia="zh-CN"/>
        </w:rPr>
        <w:t xml:space="preserve">东亭街道安置房小区老旧电梯更新项目</w:t>
      </w:r>
      <w:r>
        <w:rPr>
          <w:rFonts w:hint="eastAsia" w:ascii="宋体" w:hAnsi="宋体" w:eastAsia="宋体" w:cs="宋体"/>
          <w:bCs/>
          <w:color w:val="000000"/>
          <w:sz w:val="24"/>
          <w:szCs w:val="24"/>
          <w:highlight w:val="none"/>
        </w:rPr>
        <w:t xml:space="preserve">进行公开招标采购，欢迎符合相关条件的供应商参加投标并提请注意下列相关事项：</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w:t>
      </w:r>
      <w:r>
        <w:rPr>
          <w:rFonts w:hint="eastAsia" w:ascii="宋体" w:hAnsi="宋体" w:eastAsia="宋体" w:cs="宋体"/>
          <w:color w:val="000000"/>
          <w:sz w:val="24"/>
          <w:szCs w:val="24"/>
          <w:highlight w:val="none"/>
        </w:rPr>
        <w:t xml:space="preserve">招标项目信息</w:t>
      </w:r>
      <w:r/>
    </w:p>
    <w:p>
      <w:pPr>
        <w:ind w:left="1919" w:hanging="144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1.项目名称：</w:t>
      </w:r>
      <w:r>
        <w:rPr>
          <w:rFonts w:hint="eastAsia" w:ascii="宋体" w:hAnsi="宋体" w:eastAsia="宋体" w:cs="宋体"/>
          <w:bCs/>
          <w:color w:val="000000"/>
          <w:sz w:val="24"/>
          <w:szCs w:val="24"/>
          <w:highlight w:val="none"/>
          <w:lang w:eastAsia="zh-CN"/>
        </w:rPr>
        <w:t xml:space="preserve">东亭街道安置房小区老旧电梯更新项目</w:t>
      </w:r>
      <w:r/>
    </w:p>
    <w:p>
      <w:pPr>
        <w:ind w:firstLine="48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2.项目编号：</w:t>
      </w:r>
      <w:r>
        <w:rPr>
          <w:rFonts w:hint="eastAsia" w:ascii="宋体" w:hAnsi="宋体" w:eastAsia="宋体" w:cs="宋体"/>
          <w:bCs/>
          <w:color w:val="000000"/>
          <w:sz w:val="24"/>
          <w:szCs w:val="24"/>
          <w:highlight w:val="none"/>
          <w:lang w:eastAsia="zh-CN"/>
        </w:rPr>
        <w:t xml:space="preserve">JSZC-320205-JZCG-G2026-0024</w:t>
      </w:r>
      <w:r/>
    </w:p>
    <w:p>
      <w:pPr>
        <w:ind w:firstLine="480"/>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3.项目预算：</w:t>
      </w:r>
      <w:r>
        <w:rPr>
          <w:rFonts w:hint="eastAsia" w:ascii="宋体" w:hAnsi="宋体" w:eastAsia="宋体" w:cs="宋体"/>
          <w:color w:val="000000"/>
          <w:sz w:val="24"/>
          <w:szCs w:val="24"/>
          <w:highlight w:val="none"/>
          <w:lang w:val="en-US" w:eastAsia="zh-CN"/>
        </w:rPr>
        <w:t xml:space="preserve">531.5</w:t>
      </w:r>
      <w:r>
        <w:rPr>
          <w:rFonts w:hint="eastAsia" w:ascii="宋体" w:hAnsi="宋体" w:eastAsia="宋体" w:cs="宋体"/>
          <w:color w:val="000000"/>
          <w:sz w:val="24"/>
          <w:szCs w:val="24"/>
          <w:highlight w:val="none"/>
        </w:rPr>
        <w:t xml:space="preserve">万元，投标最高限价为</w:t>
      </w:r>
      <w:r>
        <w:rPr>
          <w:rFonts w:hint="eastAsia" w:ascii="宋体" w:hAnsi="宋体" w:eastAsia="宋体" w:cs="宋体"/>
          <w:color w:val="000000"/>
          <w:sz w:val="24"/>
          <w:szCs w:val="24"/>
          <w:highlight w:val="none"/>
          <w:lang w:val="en-US" w:eastAsia="zh-CN"/>
        </w:rPr>
        <w:t xml:space="preserve">531.5</w:t>
      </w:r>
      <w:r>
        <w:rPr>
          <w:rFonts w:hint="eastAsia" w:ascii="宋体" w:hAnsi="宋体" w:eastAsia="宋体" w:cs="宋体"/>
          <w:color w:val="000000"/>
          <w:sz w:val="24"/>
          <w:szCs w:val="24"/>
          <w:highlight w:val="none"/>
        </w:rPr>
        <w:t xml:space="preserve">万元，</w:t>
      </w:r>
      <w:r>
        <w:rPr>
          <w:rFonts w:hint="eastAsia" w:ascii="宋体" w:hAnsi="宋体" w:eastAsia="宋体" w:cs="宋体"/>
          <w:bCs/>
          <w:color w:val="000000"/>
          <w:sz w:val="24"/>
          <w:szCs w:val="24"/>
          <w:highlight w:val="none"/>
        </w:rPr>
        <w:t xml:space="preserve">投标报价不得超过最高限价，否则作无效响应文件处理。</w:t>
      </w:r>
      <w:r/>
    </w:p>
    <w:p>
      <w:pPr>
        <w:ind w:firstLine="480"/>
        <w:spacing w:line="360" w:lineRule="auto"/>
        <w:widowControl/>
        <w:rPr>
          <w:rFonts w:hint="eastAsia" w:asciiTheme="minorEastAsia" w:hAnsiTheme="minorEastAsia" w:eastAsiaTheme="minorEastAsia" w:cstheme="minorEastAsia"/>
          <w:color w:val="000000"/>
          <w:sz w:val="24"/>
          <w:szCs w:val="24"/>
          <w:highlight w:val="none"/>
        </w:rPr>
      </w:pPr>
      <w:r>
        <w:rPr>
          <w:rFonts w:hint="eastAsia" w:ascii="宋体" w:hAnsi="宋体" w:eastAsia="宋体" w:cs="宋体"/>
          <w:color w:val="000000"/>
          <w:sz w:val="24"/>
          <w:szCs w:val="24"/>
          <w:highlight w:val="none"/>
        </w:rPr>
        <w:t xml:space="preserve">4.合同履约期限：</w:t>
      </w:r>
      <w:r>
        <w:rPr>
          <w:rFonts w:hint="eastAsia" w:asciiTheme="minorEastAsia" w:hAnsiTheme="minorEastAsia" w:eastAsiaTheme="minorEastAsia" w:cstheme="minorEastAsia"/>
          <w:sz w:val="24"/>
          <w:szCs w:val="24"/>
          <w:highlight w:val="none"/>
        </w:rPr>
        <w:t xml:space="preserve">合同签订生效后120日历天内完成供货、安装及调试（供货期60天，安装工期60天）</w:t>
      </w:r>
      <w:r/>
    </w:p>
    <w:p>
      <w:pPr>
        <w:contextualSpacing/>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z w:val="24"/>
          <w:szCs w:val="24"/>
          <w:highlight w:val="none"/>
        </w:rPr>
        <w:t xml:space="preserve">5.项目整体免费质保期：2年</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6</w:t>
      </w:r>
      <w:r>
        <w:rPr>
          <w:rFonts w:hint="eastAsia" w:asciiTheme="minorEastAsia" w:hAnsiTheme="minorEastAsia" w:eastAsiaTheme="minorEastAsia" w:cstheme="minorEastAsia"/>
          <w:color w:val="000000"/>
          <w:sz w:val="24"/>
          <w:szCs w:val="24"/>
          <w:highlight w:val="none"/>
        </w:rPr>
        <w:t xml:space="preserve">.采购方式：公开招标</w:t>
      </w:r>
      <w:r/>
    </w:p>
    <w:p>
      <w:pPr>
        <w:ind w:firstLine="480"/>
        <w:spacing w:line="360" w:lineRule="auto"/>
        <w:rPr>
          <w:rFonts w:hint="eastAsia" w:asciiTheme="minorEastAsia" w:hAnsiTheme="minorEastAsia" w:eastAsiaTheme="minorEastAsia" w:cstheme="minorEastAsia"/>
          <w:bCs/>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7</w:t>
      </w:r>
      <w:r>
        <w:rPr>
          <w:rFonts w:hint="eastAsia" w:asciiTheme="minorEastAsia" w:hAnsiTheme="minorEastAsia" w:eastAsiaTheme="minorEastAsia" w:cstheme="minorEastAsia"/>
          <w:color w:val="000000"/>
          <w:sz w:val="24"/>
          <w:szCs w:val="24"/>
          <w:highlight w:val="none"/>
        </w:rPr>
        <w:t xml:space="preserve">.采购人：</w:t>
      </w:r>
      <w:r>
        <w:rPr>
          <w:rFonts w:hint="eastAsia" w:asciiTheme="minorEastAsia" w:hAnsiTheme="minorEastAsia" w:eastAsiaTheme="minorEastAsia" w:cstheme="minorEastAsia"/>
          <w:bCs/>
          <w:color w:val="000000"/>
          <w:sz w:val="24"/>
          <w:szCs w:val="24"/>
          <w:highlight w:val="none"/>
          <w:lang w:eastAsia="zh-CN"/>
        </w:rPr>
        <w:t xml:space="preserve">无锡市锡山区人民政府东亭街道办事处</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8</w:t>
      </w:r>
      <w:r>
        <w:rPr>
          <w:rFonts w:hint="eastAsia" w:asciiTheme="minorEastAsia" w:hAnsiTheme="minorEastAsia" w:eastAsiaTheme="minorEastAsia" w:cstheme="minorEastAsia"/>
          <w:color w:val="000000"/>
          <w:sz w:val="24"/>
          <w:szCs w:val="24"/>
          <w:highlight w:val="none"/>
        </w:rPr>
        <w:t xml:space="preserve">.本项目标的所属行业：工业（制造业）</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sz w:val="24"/>
          <w:szCs w:val="24"/>
          <w:highlight w:val="none"/>
          <w:lang w:val="en-US" w:eastAsia="zh-CN"/>
        </w:rPr>
      </w:pPr>
      <w:r>
        <w:rPr>
          <w:rFonts w:hint="eastAsia" w:asciiTheme="minorEastAsia" w:hAnsiTheme="minorEastAsia" w:eastAsiaTheme="minorEastAsia" w:cstheme="minorEastAsia"/>
          <w:bCs/>
          <w:color w:val="000000"/>
          <w:sz w:val="24"/>
          <w:szCs w:val="24"/>
          <w:highlight w:val="none"/>
          <w:lang w:val="en-US" w:eastAsia="zh-CN"/>
        </w:rPr>
        <w:t xml:space="preserve">9</w:t>
      </w:r>
      <w:r>
        <w:rPr>
          <w:rFonts w:hint="eastAsia" w:asciiTheme="minorEastAsia" w:hAnsiTheme="minorEastAsia" w:eastAsiaTheme="minorEastAsia" w:cstheme="minorEastAsia"/>
          <w:bCs/>
          <w:color w:val="000000"/>
          <w:sz w:val="24"/>
          <w:szCs w:val="24"/>
          <w:highlight w:val="none"/>
        </w:rPr>
        <w:t xml:space="preserve">.本项目是否专门面向</w:t>
      </w:r>
      <w:r>
        <w:rPr>
          <w:rFonts w:hint="eastAsia" w:asciiTheme="minorEastAsia" w:hAnsiTheme="minorEastAsia" w:eastAsiaTheme="minorEastAsia" w:cstheme="minorEastAsia"/>
          <w:bCs/>
          <w:color w:val="000000"/>
          <w:sz w:val="24"/>
          <w:szCs w:val="24"/>
          <w:highlight w:val="none"/>
          <w:lang w:val="en-US" w:eastAsia="zh-CN"/>
        </w:rPr>
        <w:t xml:space="preserve">中</w:t>
      </w:r>
      <w:r>
        <w:rPr>
          <w:rFonts w:hint="eastAsia" w:asciiTheme="minorEastAsia" w:hAnsiTheme="minorEastAsia" w:eastAsiaTheme="minorEastAsia" w:cstheme="minorEastAsia"/>
          <w:bCs/>
          <w:color w:val="000000"/>
          <w:sz w:val="24"/>
          <w:szCs w:val="24"/>
          <w:highlight w:val="none"/>
        </w:rPr>
        <w:t xml:space="preserve">小微企业：</w:t>
      </w:r>
      <w:r>
        <w:rPr>
          <w:rFonts w:hint="eastAsia" w:asciiTheme="minorEastAsia" w:hAnsiTheme="minorEastAsia" w:eastAsiaTheme="minorEastAsia" w:cstheme="minorEastAsia"/>
          <w:bCs/>
          <w:color w:val="000000"/>
          <w:sz w:val="24"/>
          <w:szCs w:val="24"/>
          <w:highlight w:val="none"/>
          <w:lang w:val="en-US" w:eastAsia="zh-CN"/>
        </w:rPr>
        <w:t xml:space="preserve">否</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1</w:t>
      </w:r>
      <w:r>
        <w:rPr>
          <w:rFonts w:hint="eastAsia" w:asciiTheme="minorEastAsia" w:hAnsiTheme="minorEastAsia" w:eastAsiaTheme="minorEastAsia" w:cstheme="minorEastAsia"/>
          <w:bCs/>
          <w:color w:val="000000"/>
          <w:sz w:val="24"/>
          <w:szCs w:val="24"/>
          <w:highlight w:val="none"/>
          <w:lang w:val="en-US" w:eastAsia="zh-CN"/>
        </w:rPr>
        <w:t xml:space="preserve">1</w:t>
      </w:r>
      <w:r>
        <w:rPr>
          <w:rFonts w:hint="eastAsia" w:asciiTheme="minorEastAsia" w:hAnsiTheme="minorEastAsia" w:eastAsiaTheme="minorEastAsia" w:cstheme="minorEastAsia"/>
          <w:bCs/>
          <w:color w:val="000000"/>
          <w:sz w:val="24"/>
          <w:szCs w:val="24"/>
          <w:highlight w:val="none"/>
        </w:rPr>
        <w:t xml:space="preserve">.本项目</w:t>
      </w:r>
      <w:r>
        <w:rPr>
          <w:rFonts w:hint="eastAsia" w:asciiTheme="minorEastAsia" w:hAnsiTheme="minorEastAsia" w:eastAsiaTheme="minorEastAsia" w:cstheme="minorEastAsia"/>
          <w:b/>
          <w:color w:val="000000"/>
          <w:sz w:val="24"/>
          <w:szCs w:val="24"/>
          <w:highlight w:val="none"/>
        </w:rPr>
        <w:t xml:space="preserve">不接受</w:t>
      </w:r>
      <w:r>
        <w:rPr>
          <w:rFonts w:hint="eastAsia" w:asciiTheme="minorEastAsia" w:hAnsiTheme="minorEastAsia" w:eastAsiaTheme="minorEastAsia" w:cstheme="minorEastAsia"/>
          <w:bCs/>
          <w:color w:val="000000"/>
          <w:sz w:val="24"/>
          <w:szCs w:val="24"/>
          <w:highlight w:val="none"/>
        </w:rPr>
        <w:t xml:space="preserve">联合体投标。</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sz w:val="24"/>
          <w:szCs w:val="24"/>
          <w:highlight w:val="none"/>
          <w:lang w:val="en-US" w:eastAsia="zh-CN"/>
        </w:rPr>
      </w:pPr>
      <w:r>
        <w:rPr>
          <w:rFonts w:hint="eastAsia" w:asciiTheme="minorEastAsia" w:hAnsiTheme="minorEastAsia" w:eastAsiaTheme="minorEastAsia" w:cstheme="minorEastAsia"/>
          <w:bCs/>
          <w:color w:val="000000"/>
          <w:sz w:val="24"/>
          <w:szCs w:val="24"/>
          <w:highlight w:val="none"/>
          <w:lang w:val="en-US" w:eastAsia="zh-CN"/>
        </w:rPr>
        <w:t xml:space="preserve">12.</w:t>
      </w:r>
      <w:r>
        <w:rPr>
          <w:rFonts w:hint="eastAsia" w:asciiTheme="minorEastAsia" w:hAnsiTheme="minorEastAsia" w:eastAsiaTheme="minorEastAsia" w:cstheme="minorEastAsia"/>
          <w:b w:val="0"/>
          <w:bCs/>
          <w:color w:val="000000" w:themeColor="text1"/>
          <w:sz w:val="24"/>
          <w:szCs w:val="24"/>
          <w:highlight w:val="none"/>
          <w14:textFill>
            <w14:solidFill>
              <w14:schemeClr w14:val="tx1"/>
            </w14:solidFill>
          </w14:textFill>
        </w:rPr>
        <w:t xml:space="preserve">本项目</w:t>
      </w:r>
      <w:r>
        <w:rPr>
          <w:rFonts w:hint="eastAsia" w:asciiTheme="minorEastAsia" w:hAnsiTheme="minorEastAsia" w:eastAsiaTheme="minorEastAsia" w:cstheme="minorEastAsia"/>
          <w:b/>
          <w:bCs w:val="0"/>
          <w:color w:val="000000" w:themeColor="text1"/>
          <w:sz w:val="24"/>
          <w:szCs w:val="24"/>
          <w:highlight w:val="none"/>
          <w14:textFill>
            <w14:solidFill>
              <w14:schemeClr w14:val="tx1"/>
            </w14:solidFill>
          </w14:textFill>
        </w:rPr>
        <w:t xml:space="preserve">不接受</w:t>
      </w:r>
      <w:r>
        <w:rPr>
          <w:rFonts w:hint="eastAsia" w:asciiTheme="minorEastAsia" w:hAnsiTheme="minorEastAsia" w:eastAsiaTheme="minorEastAsia" w:cstheme="minorEastAsia"/>
          <w:b w:val="0"/>
          <w:bCs/>
          <w:color w:val="000000" w:themeColor="text1"/>
          <w:sz w:val="24"/>
          <w:szCs w:val="24"/>
          <w:highlight w:val="none"/>
          <w14:textFill>
            <w14:solidFill>
              <w14:schemeClr w14:val="tx1"/>
            </w14:solidFill>
          </w14:textFill>
        </w:rPr>
        <w:t xml:space="preserve">进口产品参与投标。</w:t>
      </w:r>
      <w:r/>
    </w:p>
    <w:p>
      <w:pPr>
        <w:ind w:firstLine="482"/>
        <w:jc w:val="left"/>
        <w:spacing w:line="360" w:lineRule="auto"/>
        <w:shd w:val="clear" w:color="auto" w:fill="ffffff"/>
        <w:widowControl/>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（二）供应商资格要求</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 满足《中华人民共和国政府采购法》第二十二条规定；</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2.未被“信用中国”网站（</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"http://www.creditchina.gov.cn"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color w:val="000000"/>
          <w:sz w:val="24"/>
          <w:szCs w:val="24"/>
          <w:highlight w:val="none"/>
        </w:rPr>
        <w:t xml:space="preserve">www.creditchina.gov.cn</w:t>
      </w:r>
      <w:r>
        <w:rPr>
          <w:rFonts w:hint="eastAsia" w:asciiTheme="minorEastAsia" w:hAnsiTheme="minorEastAsia" w:eastAsiaTheme="minorEastAsia" w:cstheme="minorEastAsia"/>
          <w:color w:val="000000"/>
          <w:sz w:val="24"/>
          <w:szCs w:val="24"/>
          <w:highlight w:val="none"/>
        </w:rPr>
        <w:fldChar w:fldCharType="end"/>
      </w:r>
      <w:r>
        <w:rPr>
          <w:rFonts w:hint="eastAsia" w:asciiTheme="minorEastAsia" w:hAnsiTheme="minorEastAsia" w:eastAsiaTheme="minorEastAsia" w:cstheme="minorEastAsia"/>
          <w:color w:val="000000"/>
          <w:sz w:val="24"/>
          <w:szCs w:val="24"/>
          <w:highlight w:val="none"/>
        </w:rPr>
        <w:t xml:space="preserve">）列入失信被执行人、重大税收违法案件当事人名单、政府采购严重违法失信行为记录名单；</w:t>
      </w:r>
      <w:r/>
    </w:p>
    <w:p>
      <w:pPr>
        <w:ind w:firstLine="480"/>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3.落实政府采购政策需满足的资格要求：</w:t>
      </w:r>
      <w:r>
        <w:rPr>
          <w:rFonts w:hint="eastAsia" w:asciiTheme="minorEastAsia" w:hAnsiTheme="minorEastAsia" w:eastAsiaTheme="minorEastAsia" w:cstheme="minorEastAsia"/>
          <w:bCs/>
          <w:color w:val="000000"/>
          <w:sz w:val="24"/>
          <w:szCs w:val="24"/>
          <w:highlight w:val="none"/>
          <w:lang w:val="en-US" w:eastAsia="zh-CN"/>
        </w:rPr>
        <w:t xml:space="preserve">无</w:t>
      </w:r>
      <w:r>
        <w:rPr>
          <w:rFonts w:hint="eastAsia" w:asciiTheme="minorEastAsia" w:hAnsiTheme="minorEastAsia" w:eastAsiaTheme="minorEastAsia" w:cstheme="minorEastAsia"/>
          <w:bCs/>
          <w:color w:val="000000"/>
          <w:sz w:val="24"/>
          <w:szCs w:val="24"/>
          <w:highlight w:val="none"/>
        </w:rPr>
        <w:t xml:space="preserve">；</w:t>
      </w:r>
      <w:r/>
    </w:p>
    <w:p>
      <w:pPr>
        <w:ind w:firstLine="456"/>
        <w:spacing w:line="360" w:lineRule="auto"/>
        <w:rPr>
          <w:rFonts w:hint="eastAsia" w:ascii="宋体" w:hAnsi="宋体" w:eastAsia="宋体" w:cs="宋体"/>
          <w:color w:val="000000"/>
          <w:sz w:val="24"/>
          <w:szCs w:val="24"/>
          <w:highlight w:val="none"/>
          <w:lang w:val="en-US" w:eastAsia="zh-CN"/>
        </w:rPr>
      </w:pPr>
      <w:r>
        <w:rPr>
          <w:rFonts w:hint="eastAsia" w:asciiTheme="minorEastAsia" w:hAnsiTheme="minorEastAsia" w:eastAsiaTheme="minorEastAsia" w:cstheme="minorEastAsia"/>
          <w:bCs/>
          <w:color w:val="000000"/>
          <w:sz w:val="24"/>
          <w:szCs w:val="24"/>
          <w:highlight w:val="none"/>
        </w:rPr>
        <w:t xml:space="preserve">4.</w:t>
      </w:r>
      <w:r>
        <w:rPr>
          <w:rFonts w:hint="eastAsia" w:asciiTheme="minorEastAsia" w:hAnsiTheme="minorEastAsia" w:eastAsiaTheme="minorEastAsia" w:cstheme="minorEastAsia"/>
          <w:color w:val="000000"/>
          <w:sz w:val="24"/>
          <w:szCs w:val="24"/>
          <w:highlight w:val="none"/>
        </w:rPr>
        <w:t xml:space="preserve">本项目的特定资格要求：</w:t>
      </w:r>
      <w:r>
        <w:rPr>
          <w:rFonts w:hint="eastAsia" w:asciiTheme="minorEastAsia" w:hAnsiTheme="minorEastAsia" w:eastAsiaTheme="minorEastAsia" w:cstheme="minorEastAsia"/>
          <w:color w:val="000000"/>
          <w:sz w:val="24"/>
          <w:szCs w:val="24"/>
          <w:highlight w:val="none"/>
          <w:lang w:val="en-US" w:eastAsia="zh-CN"/>
        </w:rPr>
        <w:t xml:space="preserve">（1）电梯制造商必须具备市场监督管理部门颁发的《中华人民共和国特种设备生产许可证》（许可项目为电梯制造（含安装、修理、改造），许可子项目包括曳引驱动乘客电梯（含消防员电梯）），许可参数中的最大速</w:t>
      </w:r>
      <w:r>
        <w:rPr>
          <w:rFonts w:hint="eastAsia" w:ascii="宋体" w:hAnsi="宋体" w:eastAsia="宋体" w:cs="宋体"/>
          <w:color w:val="000000"/>
          <w:sz w:val="24"/>
          <w:szCs w:val="24"/>
          <w:highlight w:val="none"/>
          <w:lang w:val="en-US" w:eastAsia="zh-CN"/>
        </w:rPr>
        <w:t xml:space="preserve">度满足本项目提升速度要求。（2）投标供应商如为代理商的，必须具备市场监督管理部门颁发的电梯安装资质（许可项目为电梯安装（含修理），许可子项目包括曳引驱动乘客电梯（含消防员电梯）），许可参数中的最大速度满足本项目提升速度要求。</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bookmarkStart w:id="0" w:name="_Toc112006902"/>
      <w:r>
        <w:rPr>
          <w:rFonts w:hint="eastAsia" w:ascii="宋体" w:hAnsi="宋体" w:eastAsia="宋体" w:cs="宋体"/>
          <w:b/>
          <w:bCs/>
          <w:color w:val="000000" w:themeColor="text1"/>
          <w:sz w:val="24"/>
          <w:szCs w:val="24"/>
          <w:highlight w:val="none"/>
          <w14:textFill>
            <w14:solidFill>
              <w14:schemeClr w14:val="tx1"/>
            </w14:solidFill>
          </w14:textFill>
        </w:rPr>
        <w:t xml:space="preserve">（三）供应商主体信息库注册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1.请有意参加本项目投标的供应商按以下流程进行操作：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（1）访问“无锡政府采购网”点击“江苏省政府采购（苏采云）平台”—“用户注册”按钮进入注册界面，也可以直接通过http://jszfcg.jsczt.cn/jszc/login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进入注册界面。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（2）办理并领取CA和电子签章（办理地址：</w:t>
      </w:r>
      <w:r>
        <w:rPr>
          <w:rFonts w:hint="eastAsia" w:ascii="宋体" w:hAnsi="宋体" w:eastAsia="宋体" w:cs="宋体"/>
          <w:color w:val="000000" w:themeColor="text1"/>
          <w:sz w:val="24"/>
          <w:highlight w:val="none"/>
          <w14:textFill>
            <w14:solidFill>
              <w14:schemeClr w14:val="tx1"/>
            </w14:solidFill>
          </w14:textFill>
        </w:rPr>
        <w:t xml:space="preserve">无锡市观山路市民中心12号楼2楼公共资源交易大厅9号10号窗口</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（3）“苏采云”系统供应商操作手册链接：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（4）CA驱动下载链接（政务CA方正签章控件驱动）：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技术服务QQ：3071474382（服务时间：工作日9:00-17:00）</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 完成注册的供应商方可绑定CA，并使用CA登录苏采云平台，参与项目，上传投标文件，进行投标。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未按上述要求操作，由此所产生的损失及风险由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bookmarkEnd w:id="0"/>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bookmarkStart w:id="1" w:name="_Toc112006903"/>
      <w:r>
        <w:rPr>
          <w:rFonts w:hint="eastAsia" w:ascii="宋体" w:hAnsi="宋体" w:eastAsia="宋体" w:cs="宋体"/>
          <w:b/>
          <w:bCs/>
          <w:color w:val="000000" w:themeColor="text1"/>
          <w:sz w:val="24"/>
          <w:szCs w:val="24"/>
          <w:highlight w:val="none"/>
          <w14:textFill>
            <w14:solidFill>
              <w14:schemeClr w14:val="tx1"/>
            </w14:solidFill>
          </w14:textFill>
        </w:rPr>
        <w:t xml:space="preserve">（四）获取采购文件</w:t>
      </w:r>
      <w:bookmarkEnd w:id="1"/>
      <w:r/>
      <w:r/>
    </w:p>
    <w:p>
      <w:pPr>
        <w:ind w:firstLine="480"/>
        <w:jc w:val="left"/>
        <w:spacing w:line="360" w:lineRule="auto"/>
        <w:shd w:val="clear" w:color="auto" w:fill="ffffff"/>
        <w:widowControl/>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供应商可在</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Times New Roman"/>
          <w:color w:val="000000" w:themeColor="text1"/>
          <w:sz w:val="24"/>
          <w:szCs w:val="24"/>
          <w:highlight w:val="none"/>
          <w14:textFill>
            <w14:solidFill>
              <w14:schemeClr w14:val="tx1"/>
            </w14:solidFill>
          </w14:textFill>
        </w:rPr>
        <w:t xml:space="preserve">附件中查看公开招标文件，如确定参加本次采购活动，必须在苏采云平</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（http://jszfcg.jsczt.cn/jszc/login</w:t>
      </w:r>
      <w:r>
        <w:rPr>
          <w:rFonts w:hint="eastAsia" w:ascii="宋体" w:hAnsi="宋体" w:eastAsia="宋体" w:cs="Times New Roman"/>
          <w:color w:val="000000" w:themeColor="text1"/>
          <w:sz w:val="24"/>
          <w:szCs w:val="24"/>
          <w:highlight w:val="none"/>
          <w14:textFill>
            <w14:solidFill>
              <w14:schemeClr w14:val="tx1"/>
            </w14:solidFill>
          </w14:textFill>
        </w:rPr>
        <w:t xml:space="preserve">）中免费下载公开招标文件“项目参与”——“采购项目”找到需要获取采购文件的项目，点击“我要参与”——“参与投标”——“下载文件”</w:t>
      </w:r>
      <w:r>
        <w:rPr>
          <w:rFonts w:ascii="宋体" w:hAnsi="宋体" w:eastAsia="宋体" w:cs="宋体"/>
          <w:color w:val="000000" w:themeColor="text1"/>
          <w:sz w:val="24"/>
          <w:szCs w:val="22"/>
          <w:highlight w:val="none"/>
          <w14:textFill>
            <w14:solidFill>
              <w14:schemeClr w14:val="tx1"/>
            </w14:solidFill>
          </w14:textFill>
        </w:rPr>
        <w:t xml:space="preserve">，完成项目参与，将苏采云平台中下载的采购文件（后缀名为</w:t>
      </w:r>
      <w:r>
        <w:rPr>
          <w:rFonts w:hint="eastAsia" w:ascii="宋体" w:hAnsi="宋体" w:eastAsia="宋体" w:cs="宋体"/>
          <w:color w:val="000000" w:themeColor="text1"/>
          <w:sz w:val="24"/>
          <w:szCs w:val="22"/>
          <w:highlight w:val="none"/>
          <w:lang w:eastAsia="zh-CN"/>
          <w14:textFill>
            <w14:solidFill>
              <w14:schemeClr w14:val="tx1"/>
            </w14:solidFill>
          </w14:textFill>
        </w:rPr>
        <w:t xml:space="preserve">“</w:t>
      </w:r>
      <w:r>
        <w:rPr>
          <w:rFonts w:ascii="宋体" w:hAnsi="宋体" w:eastAsia="宋体" w:cs="宋体"/>
          <w:color w:val="000000" w:themeColor="text1"/>
          <w:sz w:val="24"/>
          <w:szCs w:val="22"/>
          <w:highlight w:val="none"/>
          <w14:textFill>
            <w14:solidFill>
              <w14:schemeClr w14:val="tx1"/>
            </w14:solidFill>
          </w14:textFill>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（五）公开答疑时间、地点</w:t>
      </w:r>
      <w:r/>
    </w:p>
    <w:p>
      <w:pPr>
        <w:ind w:firstLine="720"/>
        <w:keepLines w:val="0"/>
        <w:keepNext w:val="0"/>
        <w:pageBreakBefore w:val="0"/>
        <w:spacing w:line="360" w:lineRule="auto"/>
        <w:widowControl w:val="off"/>
        <w:rPr>
          <w:rFonts w:ascii="宋体" w:hAnsi="宋体" w:eastAsia="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采购人、无锡市公共资源交易中心锡山分中心将以电话咨询、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发邮件（xszfcgzx@163.com）</w:t>
      </w:r>
      <w:r>
        <w:rPr>
          <w:rFonts w:hint="eastAsia" w:ascii="宋体" w:hAnsi="宋体" w:eastAsia="宋体" w:cs="宋体"/>
          <w:color w:val="000000" w:themeColor="text1"/>
          <w:sz w:val="24"/>
          <w:szCs w:val="24"/>
          <w:highlight w:val="none"/>
          <w14:textFill>
            <w14:solidFill>
              <w14:schemeClr w14:val="tx1"/>
            </w14:solidFill>
          </w14:textFill>
        </w:rPr>
        <w:t xml:space="preserve">等方式开展线上不见面答疑服务。截止至202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日10:00前，有关单位对于招标文件的相关事项如有疑问可通过上述方式咨询；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如有需要对招标文件要求澄清的问题，请以书面形式（必须加盖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公章，也请务必留下联系方式，以便回复）提出“</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JSZC-320205-JZCG-G2026-0024</w:t>
      </w:r>
      <w:r>
        <w:rPr>
          <w:rFonts w:hint="eastAsia" w:ascii="宋体" w:hAnsi="宋体" w:eastAsia="宋体" w:cs="宋体"/>
          <w:color w:val="000000" w:themeColor="text1"/>
          <w:sz w:val="24"/>
          <w:szCs w:val="24"/>
          <w:highlight w:val="none"/>
          <w14:textFill>
            <w14:solidFill>
              <w14:schemeClr w14:val="tx1"/>
            </w14:solidFill>
          </w14:textFill>
        </w:rPr>
        <w:t xml:space="preserve">项目需澄清问题”，</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并于答疑截止时间前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发邮件（xszfcgzx@163.com）</w:t>
      </w:r>
      <w:r>
        <w:rPr>
          <w:rFonts w:hint="eastAsia" w:ascii="宋体" w:hAnsi="宋体" w:eastAsia="宋体" w:cs="宋体"/>
          <w:color w:val="000000" w:themeColor="text1"/>
          <w:sz w:val="24"/>
          <w:szCs w:val="24"/>
          <w:highlight w:val="none"/>
          <w14:textFill>
            <w14:solidFill>
              <w14:schemeClr w14:val="tx1"/>
            </w14:solidFill>
          </w14:textFill>
        </w:rPr>
        <w:t xml:space="preserve">给项目联系人。若未在法定时间内提出澄清，由此造成的损失及风险由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bookmarkStart w:id="2" w:name="_Toc112006904"/>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（六）现场踏勘：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bookmarkEnd w:id="2"/>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14:textFill>
            <w14:solidFill>
              <w14:schemeClr w14:val="tx1"/>
            </w14:solidFill>
          </w14:textFill>
        </w:rPr>
        <w:t xml:space="preserve">）投标及开标、定标时间、地点：</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投标截止时间（网上投标截止时间苏采云投标客户端投标）：20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olor w:val="000000" w:themeColor="text1"/>
          <w:sz w:val="24"/>
          <w:szCs w:val="24"/>
          <w:highlight w:val="none"/>
          <w14:textFill>
            <w14:solidFill>
              <w14:schemeClr w14:val="tx1"/>
            </w14:solidFill>
          </w14:textFill>
        </w:rPr>
        <w:t xml:space="preserve">日</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olor w:val="000000" w:themeColor="text1"/>
          <w:sz w:val="24"/>
          <w:szCs w:val="24"/>
          <w:highlight w:val="none"/>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，投标截止时间后的投标文件恕不接受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shd w:val="clear" w:color="auto" w:fill="ffffff"/>
        <w:widowControl/>
        <w:rPr>
          <w:rFonts w:ascii="宋体" w:hAnsi="宋体" w:eastAsia="宋体"/>
          <w:sz w:val="24"/>
          <w:szCs w:val="24"/>
          <w:highlight w:val="none"/>
        </w:rPr>
      </w:pPr>
      <w:r>
        <w:rPr>
          <w:rFonts w:hint="eastAsia" w:ascii="宋体" w:hAnsi="宋体" w:eastAsia="宋体"/>
          <w:sz w:val="24"/>
          <w:szCs w:val="24"/>
          <w:highlight w:val="none"/>
        </w:rPr>
        <w:t xml:space="preserve">开标时间：</w:t>
      </w:r>
      <w:r>
        <w:rPr>
          <w:rFonts w:hint="eastAsia" w:ascii="宋体" w:hAnsi="宋体" w:eastAsia="宋体"/>
          <w:color w:val="000000" w:themeColor="text1"/>
          <w:sz w:val="24"/>
          <w:szCs w:val="24"/>
          <w:highlight w:val="none"/>
          <w14:textFill>
            <w14:solidFill>
              <w14:schemeClr w14:val="tx1"/>
            </w14:solidFill>
          </w14:textFill>
        </w:rPr>
        <w:t xml:space="preserve">202</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olor w:val="000000" w:themeColor="text1"/>
          <w:sz w:val="24"/>
          <w:szCs w:val="24"/>
          <w:highlight w:val="none"/>
          <w14:textFill>
            <w14:solidFill>
              <w14:schemeClr w14:val="tx1"/>
            </w14:solidFill>
          </w14:textFill>
        </w:rPr>
        <w:t xml:space="preserve">年</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olor w:val="000000" w:themeColor="text1"/>
          <w:sz w:val="24"/>
          <w:szCs w:val="24"/>
          <w:highlight w:val="none"/>
          <w14:textFill>
            <w14:solidFill>
              <w14:schemeClr w14:val="tx1"/>
            </w14:solidFill>
          </w14:textFill>
        </w:rPr>
        <w:t xml:space="preserve">月</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olor w:val="000000" w:themeColor="text1"/>
          <w:sz w:val="24"/>
          <w:szCs w:val="24"/>
          <w:highlight w:val="none"/>
          <w14:textFill>
            <w14:solidFill>
              <w14:schemeClr w14:val="tx1"/>
            </w14:solidFill>
          </w14:textFill>
        </w:rPr>
        <w:t xml:space="preserve">日</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olor w:val="000000" w:themeColor="text1"/>
          <w:sz w:val="24"/>
          <w:szCs w:val="24"/>
          <w:highlight w:val="none"/>
          <w14:textFill>
            <w14:solidFill>
              <w14:schemeClr w14:val="tx1"/>
            </w14:solidFill>
          </w14:textFill>
        </w:rPr>
        <w:t xml:space="preserve">:30</w:t>
      </w:r>
      <w:bookmarkStart w:id="32" w:name="_GoBack"/>
      <w:r/>
      <w:bookmarkEnd w:id="32"/>
      <w:r/>
      <w:r/>
    </w:p>
    <w:p>
      <w:pPr>
        <w:ind w:firstLine="480"/>
        <w:jc w:val="left"/>
        <w:spacing w:line="360" w:lineRule="auto"/>
        <w:shd w:val="clear" w:color="auto" w:fill="ffffff"/>
        <w:widowControl/>
        <w:rPr>
          <w:rFonts w:ascii="宋体" w:hAnsi="宋体" w:eastAsia="宋体"/>
          <w:sz w:val="24"/>
          <w:szCs w:val="24"/>
          <w:highlight w:val="none"/>
        </w:rPr>
      </w:pPr>
      <w:r>
        <w:rPr>
          <w:rFonts w:hint="eastAsia" w:ascii="宋体" w:hAnsi="宋体" w:eastAsia="宋体"/>
          <w:sz w:val="24"/>
          <w:szCs w:val="24"/>
          <w:highlight w:val="none"/>
        </w:rPr>
        <w:t xml:space="preserve">投标及开标地点：</w:t>
      </w:r>
      <w:r>
        <w:rPr>
          <w:rFonts w:hint="eastAsia" w:ascii="宋体" w:hAnsi="宋体" w:eastAsia="宋体" w:cs="宋体"/>
          <w:bCs/>
          <w:sz w:val="24"/>
          <w:szCs w:val="24"/>
          <w:highlight w:val="none"/>
        </w:rPr>
        <w:t xml:space="preserve">江苏省政府采购（苏采云）平台</w:t>
      </w:r>
      <w:r/>
    </w:p>
    <w:p>
      <w:pPr>
        <w:ind w:firstLine="480"/>
        <w:jc w:val="left"/>
        <w:spacing w:line="360" w:lineRule="auto"/>
        <w:shd w:val="clear" w:color="auto" w:fill="ffffff"/>
        <w:widowControl/>
        <w:rPr>
          <w:rFonts w:ascii="宋体" w:hAnsi="宋体" w:eastAsia="宋体"/>
          <w:sz w:val="24"/>
          <w:szCs w:val="24"/>
          <w:highlight w:val="none"/>
        </w:rPr>
      </w:pPr>
      <w:r>
        <w:rPr>
          <w:rFonts w:hint="eastAsia" w:ascii="宋体" w:hAnsi="宋体" w:eastAsia="宋体"/>
          <w:sz w:val="24"/>
          <w:szCs w:val="24"/>
          <w:highlight w:val="none"/>
        </w:rPr>
        <w:t xml:space="preserve">定标时间：评标结束</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定标地点：无锡市公共资源交易中心锡山分中心</w:t>
      </w:r>
      <w:bookmarkStart w:id="3" w:name="_Toc112006905"/>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（八）投标文件份数：</w:t>
      </w:r>
      <w:bookmarkEnd w:id="3"/>
      <w:r>
        <w:rPr>
          <w:rFonts w:hint="eastAsia" w:ascii="宋体" w:hAnsi="宋体" w:eastAsia="宋体"/>
          <w:color w:val="000000"/>
          <w:sz w:val="24"/>
          <w:szCs w:val="24"/>
          <w:highlight w:val="none"/>
        </w:rPr>
        <w:t xml:space="preserve">请按</w:t>
      </w:r>
      <w:r>
        <w:rPr>
          <w:rFonts w:hint="eastAsia" w:ascii="宋体" w:hAnsi="宋体" w:eastAsia="宋体"/>
          <w:color w:val="000000"/>
          <w:sz w:val="24"/>
          <w:szCs w:val="24"/>
          <w:highlight w:val="none"/>
          <w:lang w:eastAsia="zh-CN"/>
        </w:rPr>
        <w:t xml:space="preserve">规定</w:t>
      </w:r>
      <w:r>
        <w:rPr>
          <w:rFonts w:hint="eastAsia" w:ascii="宋体" w:hAnsi="宋体" w:eastAsia="宋体"/>
          <w:color w:val="000000"/>
          <w:sz w:val="24"/>
          <w:szCs w:val="24"/>
          <w:highlight w:val="none"/>
        </w:rPr>
        <w:t xml:space="preserve">上传电子响应文件，不接收纸质投标文件。</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（九）投标有效期：开标之日起90天</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（十）采购方法：</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本次采购采用“</w:t>
      </w:r>
      <w:r>
        <w:rPr>
          <w:rFonts w:hint="eastAsia" w:ascii="宋体" w:hAnsi="宋体" w:eastAsia="宋体" w:cs="宋体"/>
          <w:bCs/>
          <w:sz w:val="24"/>
          <w:szCs w:val="24"/>
          <w:highlight w:val="none"/>
        </w:rPr>
        <w:t xml:space="preserve">江苏省政府采购（苏采云）平台</w:t>
      </w:r>
      <w:r>
        <w:rPr>
          <w:rFonts w:hint="eastAsia" w:ascii="宋体" w:hAnsi="宋体" w:eastAsia="宋体"/>
          <w:color w:val="000000"/>
          <w:sz w:val="24"/>
          <w:szCs w:val="24"/>
          <w:highlight w:val="none"/>
        </w:rPr>
        <w:t xml:space="preserve">”进行招标投标活动，招标、投标、评标和中标结果发布全程电子化。</w:t>
      </w:r>
      <w:r/>
    </w:p>
    <w:p>
      <w:pPr>
        <w:ind w:firstLine="480"/>
        <w:jc w:val="left"/>
        <w:spacing w:line="360" w:lineRule="auto"/>
        <w:shd w:val="clear" w:color="auto" w:fill="ffffff"/>
        <w:widowControl/>
        <w:rPr>
          <w:rFonts w:ascii="宋体" w:hAnsi="宋体" w:eastAsia="宋体"/>
          <w:color w:val="000000"/>
          <w:sz w:val="24"/>
          <w:szCs w:val="24"/>
          <w:highlight w:val="none"/>
        </w:rPr>
      </w:pPr>
      <w:r/>
      <w:bookmarkStart w:id="4" w:name="_Toc112006909"/>
      <w:r>
        <w:rPr>
          <w:rFonts w:hint="eastAsia" w:ascii="宋体" w:hAnsi="宋体" w:eastAsia="宋体"/>
          <w:color w:val="000000"/>
          <w:sz w:val="24"/>
          <w:szCs w:val="24"/>
          <w:highlight w:val="none"/>
        </w:rPr>
        <w:t xml:space="preserve">（十一）</w:t>
      </w:r>
      <w:r>
        <w:rPr>
          <w:rFonts w:hint="eastAsia" w:ascii="宋体" w:hAnsi="宋体" w:eastAsia="宋体"/>
          <w:color w:val="000000"/>
          <w:sz w:val="24"/>
          <w:szCs w:val="24"/>
          <w:highlight w:val="none"/>
          <w:lang w:eastAsia="zh-CN"/>
        </w:rPr>
        <w:t xml:space="preserve">其他</w:t>
      </w:r>
      <w:bookmarkEnd w:id="4"/>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集中采购机构：无锡市公共资源交易中心锡山分中心</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地址：无锡市公共资源交易中心锡山分中心（无锡市锡山区迎宾南路19号4楼）</w:t>
      </w:r>
      <w:r/>
    </w:p>
    <w:p>
      <w:pPr>
        <w:ind w:firstLine="480"/>
        <w:jc w:val="left"/>
        <w:spacing w:line="360" w:lineRule="auto"/>
        <w:shd w:val="clear" w:color="auto" w:fill="ffffff"/>
        <w:widowControl/>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联系人：</w:t>
      </w:r>
      <w:r>
        <w:rPr>
          <w:rFonts w:hint="eastAsia" w:ascii="宋体" w:hAnsi="宋体" w:eastAsia="宋体"/>
          <w:color w:val="000000"/>
          <w:sz w:val="24"/>
          <w:szCs w:val="24"/>
          <w:highlight w:val="none"/>
          <w:lang w:val="en-US" w:eastAsia="zh-CN"/>
        </w:rPr>
        <w:t xml:space="preserve">岳鹏翔</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电</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话：0510-88213027</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邮</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编：214101</w:t>
      </w:r>
      <w:r/>
    </w:p>
    <w:p>
      <w:pPr>
        <w:ind w:firstLine="480"/>
        <w:jc w:val="left"/>
        <w:spacing w:line="360" w:lineRule="auto"/>
        <w:shd w:val="clear" w:color="auto" w:fill="ffffff"/>
        <w:widowControl/>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采购人：</w:t>
      </w:r>
      <w:r>
        <w:rPr>
          <w:rFonts w:hint="eastAsia" w:ascii="宋体" w:hAnsi="宋体" w:eastAsia="宋体" w:cs="宋体"/>
          <w:bCs/>
          <w:color w:val="000000"/>
          <w:sz w:val="24"/>
          <w:szCs w:val="24"/>
          <w:highlight w:val="none"/>
          <w:lang w:eastAsia="zh-CN"/>
        </w:rPr>
        <w:t xml:space="preserve">无锡市锡山区人民政府东亭街道办事处</w:t>
      </w:r>
      <w:r/>
    </w:p>
    <w:p>
      <w:pPr>
        <w:ind w:firstLine="480"/>
        <w:jc w:val="left"/>
        <w:spacing w:line="360" w:lineRule="auto"/>
        <w:shd w:val="clear" w:color="auto" w:fill="ffffff"/>
        <w:widowControl/>
        <w:rPr>
          <w:rFonts w:hint="default" w:ascii="宋体" w:hAnsi="宋体" w:eastAsia="宋体"/>
          <w:color w:val="000000"/>
          <w:sz w:val="24"/>
          <w:szCs w:val="24"/>
          <w:highlight w:val="none"/>
          <w:lang w:val="en-US" w:eastAsia="zh-CN"/>
        </w:rPr>
      </w:pPr>
      <w:r>
        <w:rPr>
          <w:rFonts w:hint="eastAsia" w:ascii="宋体" w:hAnsi="宋体" w:eastAsia="宋体"/>
          <w:color w:val="000000"/>
          <w:sz w:val="24"/>
          <w:szCs w:val="24"/>
          <w:highlight w:val="none"/>
        </w:rPr>
        <w:t xml:space="preserve">联系人：</w:t>
      </w:r>
      <w:r>
        <w:rPr>
          <w:rFonts w:hint="eastAsia" w:ascii="宋体" w:hAnsi="宋体" w:eastAsia="宋体"/>
          <w:color w:val="000000"/>
          <w:sz w:val="24"/>
          <w:szCs w:val="24"/>
          <w:highlight w:val="none"/>
          <w:lang w:val="en-US" w:eastAsia="zh-CN"/>
        </w:rPr>
        <w:t xml:space="preserve">蒋子文</w:t>
      </w:r>
      <w:r/>
    </w:p>
    <w:p>
      <w:pPr>
        <w:pStyle w:val="1068"/>
        <w:rPr>
          <w:rFonts w:hint="default" w:ascii="宋体" w:hAnsi="宋体" w:eastAsia="宋体"/>
          <w:color w:val="000000"/>
          <w:sz w:val="24"/>
          <w:szCs w:val="24"/>
          <w:highlight w:val="none"/>
          <w:lang w:val="en-US" w:eastAsia="zh-CN"/>
        </w:rPr>
        <w:sectPr>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color w:val="000000"/>
          <w:sz w:val="24"/>
          <w:szCs w:val="24"/>
          <w:highlight w:val="none"/>
        </w:rPr>
        <w:t xml:space="preserve">电  话：</w:t>
      </w:r>
      <w:r>
        <w:rPr>
          <w:rFonts w:hint="eastAsia" w:ascii="宋体" w:hAnsi="宋体" w:eastAsia="宋体"/>
          <w:color w:val="000000"/>
          <w:sz w:val="24"/>
          <w:szCs w:val="24"/>
          <w:highlight w:val="none"/>
        </w:rPr>
        <w:t xml:space="preserve">0510-88700035</w:t>
      </w:r>
      <w:r/>
    </w:p>
    <w:p>
      <w:pPr>
        <w:pStyle w:val="1240"/>
        <w:spacing w:before="160" w:after="160" w:line="320" w:lineRule="exact"/>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二、供应商须知</w:t>
      </w:r>
      <w:r/>
    </w:p>
    <w:p>
      <w:pPr>
        <w:ind w:firstLine="482"/>
        <w:spacing w:line="360" w:lineRule="auto"/>
        <w:rPr>
          <w:rFonts w:hint="eastAsia" w:ascii="宋体" w:hAnsi="宋体" w:eastAsia="宋体" w:cs="宋体"/>
          <w:bCs/>
          <w:color w:val="000000"/>
          <w:sz w:val="24"/>
          <w:szCs w:val="24"/>
          <w:highlight w:val="none"/>
        </w:rPr>
      </w:pPr>
      <w:r/>
      <w:bookmarkStart w:id="5" w:name="_Toc112006911"/>
      <w:r>
        <w:rPr>
          <w:rFonts w:hint="eastAsia" w:ascii="宋体" w:hAnsi="宋体" w:eastAsia="宋体" w:cs="宋体"/>
          <w:b/>
          <w:color w:val="000000"/>
          <w:sz w:val="24"/>
          <w:szCs w:val="24"/>
          <w:highlight w:val="none"/>
        </w:rPr>
        <w:t xml:space="preserve">（一）遵循原则：</w:t>
      </w:r>
      <w:bookmarkEnd w:id="5"/>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公开透明原则、公平竞争原则、公正原则和诚实信用原则。</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6" w:name="_Toc112006912"/>
      <w:r/>
      <w:bookmarkStart w:id="7" w:name="_Toc112006914"/>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w:t>
      </w:r>
      <w:bookmarkEnd w:id="6"/>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1.招标文件包括本文件目录所列全部内容，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应仔细阅读，并在投标文件中充分响应招标文件的所有要求。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2.供应商可在</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宋体"/>
          <w:bCs/>
          <w:color w:val="000000" w:themeColor="text1"/>
          <w:sz w:val="24"/>
          <w:szCs w:val="24"/>
          <w:highlight w:val="none"/>
          <w14:textFill>
            <w14:solidFill>
              <w14:schemeClr w14:val="tx1"/>
            </w14:solidFill>
          </w14:textFill>
        </w:rPr>
        <w:t xml:space="preserve">附件中查看公开招标文件，如确定参加本次采购活动，必须在苏采云平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jszc/login）中免费下载公开招标文件“项目参与”——“采购项目”找到需要获取采购文件的项目，点击“我要参与”——“参与投标”——“下载文件”，完成项目参与，将苏采云平台中下载的采购文件（后缀名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一旦参加本项目投标，即表明承诺接受了本招标文件中的所有条件和规定。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4.招标文件仅作为本次招投标使用。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5.招标文件中的“法定代表人”是指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的营业执照或相关部门的登记证明文件中的“法定代表人”或“负责人”。</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8" w:name="_Toc112006913"/>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招标文件的解释：</w:t>
      </w:r>
      <w:bookmarkEnd w:id="8"/>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本文件的最终解释权归采购人及无锡市公共资源交易中心锡山分中心。</w:t>
      </w:r>
      <w:bookmarkEnd w:id="7"/>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9" w:name="_Toc112006915"/>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招标文件的补充或修正：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1.无锡市公共资源交易中心锡山分中心可在投标截止时间15日前对招标文件进行必要的澄清或者修改，不足15日的，将顺延提交投标文件的截止时间。</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2.如需对招标文件进行澄清或修正，无锡市公共资源交易中心锡山分中心将在江苏政府采购网发布更正公告，该澄清或修正的内容为招标文件的组成部分。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应在投标截止时间前关注原招标公告媒体上发布的相关更正公告。因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未尽注意义务，未及时全面地关注更正公告导致其提交的投标材料不符合</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14:textFill>
            <w14:solidFill>
              <w14:schemeClr w14:val="tx1"/>
            </w14:solidFill>
          </w14:textFill>
        </w:rPr>
        <w:t xml:space="preserve">要求，而造成的损失及风险（包括但不限于未中标）由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（五）投标文件的组成：</w:t>
      </w:r>
      <w:bookmarkEnd w:id="9"/>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1．投标函（格式见附件）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2．资格、资信证明文件：</w:t>
      </w:r>
      <w:r/>
    </w:p>
    <w:p>
      <w:pPr>
        <w:ind w:firstLine="480"/>
        <w:spacing w:line="360" w:lineRule="auto"/>
        <w:rPr>
          <w:rFonts w:hint="eastAsia" w:ascii="宋体" w:hAnsi="宋体" w:eastAsia="宋体" w:cs="宋体"/>
          <w:bCs/>
          <w:color w:val="000000"/>
          <w:sz w:val="24"/>
          <w:szCs w:val="24"/>
          <w:highlight w:val="none"/>
        </w:rPr>
      </w:pPr>
      <w:r/>
      <w:bookmarkStart w:id="10" w:name="_Hlk23510977"/>
      <w:r/>
      <w:bookmarkStart w:id="11" w:name="_Hlk529436263"/>
      <w:r>
        <w:rPr>
          <w:rFonts w:hint="eastAsia" w:ascii="宋体" w:hAnsi="宋体" w:eastAsia="宋体" w:cs="宋体"/>
          <w:bCs/>
          <w:color w:val="000000"/>
          <w:sz w:val="24"/>
          <w:szCs w:val="24"/>
          <w:highlight w:val="none"/>
        </w:rPr>
        <w:t xml:space="preserve">（1）关于资格的声明函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（2）具有独立承担民事责任能力的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14:textFill>
            <w14:solidFill>
              <w14:schemeClr w14:val="tx1"/>
            </w14:solidFill>
          </w14:textFill>
        </w:rPr>
        <w:t xml:space="preserve">授权委托书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法定代表人亲自参与投标的除外，投标人如是自然人情形的，可不提供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（自然人）</w:t>
      </w:r>
      <w:r>
        <w:rPr>
          <w:rFonts w:hint="eastAsia" w:ascii="宋体" w:hAnsi="宋体" w:eastAsia="宋体" w:cs="宋体"/>
          <w:bCs/>
          <w:color w:val="000000"/>
          <w:sz w:val="24"/>
          <w:szCs w:val="24"/>
          <w:highlight w:val="none"/>
        </w:rPr>
        <w:t xml:space="preserve">身份证</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（正、反面）；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14:textFill>
            <w14:solidFill>
              <w14:schemeClr w14:val="tx1"/>
            </w14:solidFill>
          </w14:textFill>
        </w:rPr>
        <w:t xml:space="preserve">授权代表身份证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（正、反面）（法定代表人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14:textFill>
            <w14:solidFill>
              <w14:schemeClr w14:val="tx1"/>
            </w14:solidFill>
          </w14:textFill>
        </w:rPr>
        <w:t xml:space="preserve">亲自参加投标的除外）；</w:t>
      </w:r>
      <w:r/>
    </w:p>
    <w:p>
      <w:pPr>
        <w:ind w:firstLine="480"/>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highlight w:val="none"/>
        </w:rPr>
      </w:pPr>
      <w:r>
        <w:rPr>
          <w:rFonts w:hint="eastAsia" w:ascii="宋体" w:hAnsi="宋体" w:eastAsia="宋体"/>
          <w:bCs/>
          <w:color w:val="000000" w:themeColor="text1"/>
          <w:sz w:val="24"/>
          <w:szCs w:val="24"/>
          <w:highlight w:val="none"/>
          <w14:textFill>
            <w14:solidFill>
              <w14:schemeClr w14:val="tx1"/>
            </w14:solidFill>
          </w14:textFill>
        </w:rPr>
        <w:t xml:space="preserve">（7）</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若供应商无需依法缴纳税收，请提供纳税申报表</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14:ligatures w14:val="none"/>
        </w:rPr>
      </w:pPr>
      <w:r>
        <w:rPr>
          <w:rFonts w:hint="eastAsia" w:ascii="宋体" w:hAnsi="宋体" w:eastAsia="宋体"/>
          <w:bCs/>
          <w:color w:val="000000" w:themeColor="text1"/>
          <w:sz w:val="24"/>
          <w:szCs w:val="24"/>
          <w:highlight w:val="none"/>
          <w14:textFill>
            <w14:solidFill>
              <w14:schemeClr w14:val="tx1"/>
            </w14:solidFill>
          </w14:textFill>
        </w:rPr>
        <w:t xml:space="preserve">（8）</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rPr>
        <w:t xml:space="preserve">（9）承诺书（格式见附件）</w:t>
      </w:r>
      <w:r>
        <w:rPr>
          <w:rFonts w:hint="eastAsia" w:ascii="宋体" w:hAnsi="宋体" w:eastAsia="宋体"/>
          <w:bCs/>
          <w:color w:val="000000"/>
          <w:sz w:val="24"/>
          <w:szCs w:val="24"/>
          <w:highlight w:val="none"/>
          <w:lang w:eastAsia="zh-CN"/>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）中</w:t>
      </w:r>
      <w:r>
        <w:rPr>
          <w:rFonts w:hint="eastAsia" w:ascii="宋体" w:hAnsi="宋体" w:eastAsia="宋体" w:cs="宋体"/>
          <w:bCs/>
          <w:color w:val="000000" w:themeColor="text1"/>
          <w:sz w:val="24"/>
          <w:szCs w:val="24"/>
          <w:highlight w:val="none"/>
          <w14:textFill>
            <w14:solidFill>
              <w14:schemeClr w14:val="tx1"/>
            </w14:solidFill>
          </w14:textFill>
        </w:rPr>
        <w:t xml:space="preserve">小</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微</w:t>
      </w:r>
      <w:r>
        <w:rPr>
          <w:rFonts w:hint="eastAsia" w:ascii="宋体" w:hAnsi="宋体" w:eastAsia="宋体" w:cs="宋体"/>
          <w:bCs/>
          <w:color w:val="000000" w:themeColor="text1"/>
          <w:sz w:val="24"/>
          <w:szCs w:val="24"/>
          <w:highlight w:val="none"/>
          <w14:textFill>
            <w14:solidFill>
              <w14:schemeClr w14:val="tx1"/>
            </w14:solidFill>
          </w14:textFill>
        </w:rPr>
        <w:t xml:space="preserve">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bookmarkEnd w:id="10"/>
      <w:r/>
      <w:bookmarkEnd w:id="11"/>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采购人要求的特定资质证明复印件加盖公章（详见“投标邀请函”－“供应商资格要求”之4中要求）。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3．开标一览表</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本表无需上传，评审时以苏采云系统自带的开标一览表为准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4．报价明细表（格式见附件）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5．服务保障承诺书（格式见附件）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6．投标偏离表（格式见附件）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7．投标供应商情况表（格式见附件）</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.提供第三章项目需求和有关</w:t>
      </w:r>
      <w:r>
        <w:rPr>
          <w:rFonts w:hint="eastAsia" w:ascii="宋体" w:hAnsi="宋体" w:eastAsia="宋体" w:cs="宋体"/>
          <w:bCs/>
          <w:sz w:val="24"/>
          <w:szCs w:val="24"/>
          <w:highlight w:val="none"/>
          <w:lang w:val="en-US" w:eastAsia="zh-CN"/>
        </w:rPr>
        <w:t xml:space="preserve">说明</w:t>
      </w:r>
      <w:r>
        <w:rPr>
          <w:rFonts w:hint="eastAsia" w:ascii="宋体" w:hAnsi="宋体" w:eastAsia="宋体" w:cs="宋体"/>
          <w:bCs/>
          <w:sz w:val="24"/>
          <w:szCs w:val="24"/>
          <w:highlight w:val="none"/>
        </w:rPr>
        <w:t xml:space="preserve">需提供的相关证明材料</w:t>
      </w:r>
      <w:r/>
    </w:p>
    <w:p>
      <w:pPr>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lang w:val="en-US" w:eastAsia="zh-CN"/>
        </w:rPr>
        <w:t xml:space="preserve">9</w:t>
      </w:r>
      <w:r>
        <w:rPr>
          <w:rFonts w:hint="eastAsia" w:ascii="宋体" w:hAnsi="宋体" w:eastAsia="宋体"/>
          <w:bCs/>
          <w:color w:val="000000"/>
          <w:sz w:val="24"/>
          <w:szCs w:val="24"/>
          <w:highlight w:val="none"/>
        </w:rPr>
        <w:t xml:space="preserve">.</w:t>
      </w:r>
      <w:r>
        <w:rPr>
          <w:rFonts w:hint="eastAsia" w:ascii="宋体" w:hAnsi="宋体" w:eastAsia="宋体" w:cs="宋体"/>
          <w:bCs/>
          <w:color w:val="000000"/>
          <w:sz w:val="24"/>
          <w:szCs w:val="24"/>
          <w:highlight w:val="none"/>
        </w:rPr>
        <w:t xml:space="preserve">服务方案（如有格式自拟并自行添加）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.评分标准中对应的其他所需证明材料（如有自行添加）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.要求采购人提供的配合（如有格式自拟并自行添加）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（供应商认为有必要提供的声明和文件，如有格式自拟并自行添加）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2" w:name="_Toc112006916"/>
      <w:r>
        <w:rPr>
          <w:rFonts w:hint="eastAsia" w:ascii="宋体" w:hAnsi="宋体" w:eastAsia="宋体" w:cs="宋体"/>
          <w:bCs/>
          <w:color w:val="000000" w:themeColor="text1"/>
          <w:sz w:val="24"/>
          <w:szCs w:val="24"/>
          <w:highlight w:val="none"/>
          <w14:textFill>
            <w14:solidFill>
              <w14:schemeClr w14:val="tx1"/>
            </w14:solidFill>
          </w14:textFill>
        </w:rPr>
        <w:t xml:space="preserve">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必须按要求全部提供，否则投标文件无效。如上述资格证明文件遇年检、换证，则必须提供法定年检、换证单位出具的有效证明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。如上述资格证明文件第（6）（7）（8）</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14:textFill>
            <w14:solidFill>
              <w14:schemeClr w14:val="tx1"/>
            </w14:solidFill>
          </w14:textFill>
        </w:rPr>
        <w:t xml:space="preserve">项遇有国家相关政策规定可不具备的，必须提供相关政策规定或相关单位出具的有效证明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或其他</w:t>
      </w:r>
      <w:r>
        <w:rPr>
          <w:rFonts w:hint="eastAsia" w:ascii="宋体" w:hAnsi="宋体" w:eastAsia="宋体" w:cs="宋体"/>
          <w:bCs/>
          <w:color w:val="000000" w:themeColor="text1"/>
          <w:sz w:val="24"/>
          <w:szCs w:val="24"/>
          <w:highlight w:val="none"/>
          <w14:textFill>
            <w14:solidFill>
              <w14:schemeClr w14:val="tx1"/>
            </w14:solidFill>
          </w14:textFill>
        </w:rPr>
        <w:t xml:space="preserve">可在中国大陆有效居留的许可证明。</w:t>
      </w:r>
      <w:bookmarkEnd w:id="12"/>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3" w:name="_Toc112006918"/>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投标文件的要求：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1.所有文件、往来函件均应使用简体中文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规格、型号辅助符号例外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2.投标文件由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按给定格式如实填写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编写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，须有法人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、法定代表人或法定代表人授权代表签字或盖章，方为有效，未尽事宜可自行补充。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3.如无特别说明，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报价一律以人民币为投标结算货币，结算单位为“元”。</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4.投标文件格式部分，应由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按给定格式提供，不得更改。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在制作电子投标文件时，请正确关联到对应页，在评审过程中，评审专家如因在相对应页面找不到该相关联的文件，由此产生的后果由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.投标费用自理。</w:t>
      </w:r>
      <w:r/>
    </w:p>
    <w:p>
      <w:pPr>
        <w:ind w:firstLine="241"/>
        <w:spacing w:line="360" w:lineRule="auto"/>
        <w:tabs>
          <w:tab w:val="left" w:pos="525" w:leader="none"/>
          <w:tab w:val="left" w:pos="1050" w:leader="none"/>
        </w:tabs>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7.评分标准中除投标报价以外，还须包含明标（投标人评价）和暗标（服务管理工作方案）两大部分，其暗标编制要求如下：</w:t>
      </w:r>
      <w:r/>
    </w:p>
    <w:p>
      <w:pPr>
        <w:ind w:firstLine="482"/>
        <w:spacing w:line="360" w:lineRule="auto"/>
        <w:tabs>
          <w:tab w:val="left" w:pos="525" w:leader="none"/>
          <w:tab w:val="left" w:pos="1050" w:leader="none"/>
        </w:tabs>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(1)</w:t>
      </w:r>
      <w:r>
        <w:rPr>
          <w:rFonts w:hint="eastAsia" w:ascii="宋体" w:hAnsi="宋体" w:eastAsia="宋体" w:cs="宋体"/>
          <w:b/>
          <w:color w:val="000000" w:themeColor="text1"/>
          <w:sz w:val="24"/>
          <w:szCs w:val="24"/>
          <w14:textFill>
            <w14:solidFill>
              <w14:schemeClr w14:val="tx1"/>
            </w14:solidFill>
          </w14:textFill>
        </w:rPr>
        <w:t xml:space="preserve">暗标编制应按采购文件规定的格式制作，要求版面整洁、字迹清楚、不得涂改、不得标注。</w:t>
      </w:r>
      <w:r/>
    </w:p>
    <w:p>
      <w:pPr>
        <w:ind w:firstLine="482"/>
        <w:spacing w:line="360" w:lineRule="auto"/>
        <w:tabs>
          <w:tab w:val="left" w:pos="525" w:leader="none"/>
          <w:tab w:val="left" w:pos="1050" w:leader="none"/>
        </w:tabs>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(2)</w:t>
      </w:r>
      <w:r>
        <w:rPr>
          <w:rFonts w:hint="eastAsia" w:ascii="宋体" w:hAnsi="宋体" w:eastAsia="宋体" w:cs="宋体"/>
          <w:b/>
          <w:color w:val="000000" w:themeColor="text1"/>
          <w:sz w:val="24"/>
          <w:szCs w:val="24"/>
          <w14:textFill>
            <w14:solidFill>
              <w14:schemeClr w14:val="tx1"/>
            </w14:solidFill>
          </w14:textFill>
        </w:rPr>
        <w:t xml:space="preserve">暗标中所有正文中均不得出现可识别供应商身份的任何字符、徽标，包括文字、符号、图案、标识、标志、人员姓名、企业名称、以往项目名称、投标人独有的标准名称或编号等</w:t>
      </w:r>
      <w:r>
        <w:rPr>
          <w:rFonts w:hint="eastAsia" w:ascii="宋体" w:hAnsi="宋体" w:eastAsia="宋体" w:cs="宋体"/>
          <w:b/>
          <w:color w:val="000000" w:themeColor="text1"/>
          <w:sz w:val="24"/>
          <w:szCs w:val="24"/>
          <w:lang w:eastAsia="zh-CN"/>
          <w14:textFill>
            <w14:solidFill>
              <w14:schemeClr w14:val="tx1"/>
            </w14:solidFill>
          </w14:textFill>
        </w:rPr>
        <w:t xml:space="preserve">，</w:t>
      </w:r>
      <w:r>
        <w:rPr>
          <w:rFonts w:hint="eastAsia" w:ascii="宋体" w:hAnsi="宋体" w:eastAsia="宋体" w:cs="宋体"/>
          <w:b/>
          <w:color w:val="000000" w:themeColor="text1"/>
          <w:sz w:val="24"/>
          <w:szCs w:val="24"/>
          <w14:textFill>
            <w14:solidFill>
              <w14:schemeClr w14:val="tx1"/>
            </w14:solidFill>
          </w14:textFill>
        </w:rPr>
        <w:t xml:space="preserve">不得出现其他具有标识性作用的符号、图案等，不得出现表格、流程图、图片等，也不得采用任何不符合常规、有别于其他供应商的特殊做法。</w:t>
      </w:r>
      <w:r/>
    </w:p>
    <w:p>
      <w:pPr>
        <w:ind w:firstLine="482"/>
        <w:spacing w:line="360" w:lineRule="auto"/>
        <w:tabs>
          <w:tab w:val="left" w:pos="525" w:leader="none"/>
          <w:tab w:val="left" w:pos="1050" w:leader="none"/>
        </w:tabs>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(3）字体、段落、页码、页面布局的设置：</w:t>
      </w:r>
      <w:r/>
    </w:p>
    <w:p>
      <w:pPr>
        <w:ind w:firstLine="482"/>
        <w:spacing w:line="360" w:lineRule="auto"/>
        <w:tabs>
          <w:tab w:val="left" w:pos="525" w:leader="none"/>
          <w:tab w:val="left" w:pos="1050" w:leader="none"/>
        </w:tabs>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字体：一级标题为宋体黑色二号字，其余正文均采用宋体黑色小四号字体，不得出现手写。</w:t>
      </w:r>
      <w:r/>
    </w:p>
    <w:p>
      <w:pPr>
        <w:ind w:firstLine="482"/>
        <w:spacing w:line="360" w:lineRule="auto"/>
        <w:tabs>
          <w:tab w:val="left" w:pos="525" w:leader="none"/>
          <w:tab w:val="left" w:pos="1050" w:leader="none"/>
        </w:tabs>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段落：使用1.5倍行间距、字间距标准、每段段前空两格。</w:t>
      </w:r>
      <w:r/>
    </w:p>
    <w:p>
      <w:pPr>
        <w:ind w:firstLine="482"/>
        <w:spacing w:line="360" w:lineRule="auto"/>
        <w:tabs>
          <w:tab w:val="left" w:pos="525" w:leader="none"/>
          <w:tab w:val="left" w:pos="1050" w:leader="none"/>
        </w:tabs>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页码：页码应当连续居中，不得有空白页。不得设置页眉，页脚只准出现页码，采用黑色小5号阿拉伯数字格式，设在页脚对中位置。</w:t>
      </w:r>
      <w:r/>
    </w:p>
    <w:p>
      <w:pPr>
        <w:ind w:firstLine="482"/>
        <w:spacing w:line="360" w:lineRule="auto"/>
        <w:tabs>
          <w:tab w:val="left" w:pos="525" w:leader="none"/>
          <w:tab w:val="left" w:pos="1050" w:leader="none"/>
        </w:tabs>
        <w:rPr>
          <w:rFonts w:hint="eastAsia"/>
          <w:sz w:val="24"/>
          <w:szCs w:val="24"/>
        </w:rPr>
      </w:pPr>
      <w:r>
        <w:rPr>
          <w:rFonts w:hint="eastAsia" w:ascii="宋体" w:hAnsi="宋体" w:eastAsia="宋体" w:cs="宋体"/>
          <w:b/>
          <w:color w:val="000000" w:themeColor="text1"/>
          <w:sz w:val="24"/>
          <w:szCs w:val="24"/>
          <w14:textFill>
            <w14:solidFill>
              <w14:schemeClr w14:val="tx1"/>
            </w14:solidFill>
          </w14:textFill>
        </w:rPr>
        <w:t xml:space="preserve">页面布局：纸张方向纵向、页面底色白色，分栏为一栏。</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14" w:name="_Toc112006917"/>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 网上投标</w:t>
      </w:r>
      <w:bookmarkEnd w:id="14"/>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应由其法定代表人或法定代表人授权代表在规定的网上投标时间内，凭CA数字证书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登录</w:t>
      </w:r>
      <w:r>
        <w:rPr>
          <w:rFonts w:hint="eastAsia" w:ascii="宋体" w:hAnsi="宋体" w:eastAsia="宋体" w:cs="宋体"/>
          <w:bCs/>
          <w:color w:val="000000" w:themeColor="text1"/>
          <w:sz w:val="24"/>
          <w:szCs w:val="24"/>
          <w:highlight w:val="none"/>
          <w14:textFill>
            <w14:solidFill>
              <w14:schemeClr w14:val="tx1"/>
            </w14:solidFill>
          </w14:textFill>
        </w:rPr>
        <w:t xml:space="preserve">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应对CA数字证书妥善保管，如被他人盗用投标，后果自负。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按招标文件规定的网上解密时间进行解密，如未按时解密后果自负。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应当对招标文件提出的要求和条件作出实质性响应，并在电子投标系统逐条应答。</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应对要求提供的资格证明文件（如资质证书、资格证书）、技术资料（如白皮书、彩页、手册、检测报告等）扫描上传至投标系统。</w:t>
      </w:r>
      <w:r/>
    </w:p>
    <w:p>
      <w:pPr>
        <w:ind w:left="479"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进行网上投标请参照《政府采购项目电子交易管理操作指南</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供应商》。</w:t>
      </w:r>
      <w:bookmarkEnd w:id="13"/>
      <w:r/>
      <w:r/>
    </w:p>
    <w:p>
      <w:pPr>
        <w:pStyle w:val="1089"/>
        <w:ind w:firstLine="482"/>
        <w:spacing w:line="360" w:lineRule="auto"/>
        <w:rPr>
          <w:rFonts w:hint="eastAsia" w:ascii="宋体" w:hAnsi="宋体" w:eastAsia="宋体" w:cs="宋体"/>
          <w:color w:val="000000" w:themeColor="text1"/>
          <w:highlight w:val="none"/>
          <w14:textFill>
            <w14:solidFill>
              <w14:schemeClr w14:val="tx1"/>
            </w14:solidFill>
          </w14:textFill>
        </w:rPr>
      </w:pPr>
      <w:r/>
      <w:bookmarkStart w:id="15" w:name="_Toc112006919"/>
      <w:r>
        <w:rPr>
          <w:rFonts w:hint="eastAsia" w:ascii="宋体" w:hAnsi="宋体" w:eastAsia="宋体" w:cs="宋体"/>
          <w:b/>
          <w:bCs/>
          <w:color w:val="000000" w:themeColor="text1"/>
          <w:sz w:val="24"/>
          <w:szCs w:val="24"/>
          <w:highlight w:val="none"/>
          <w14:textFill>
            <w14:solidFill>
              <w14:schemeClr w14:val="tx1"/>
            </w14:solidFill>
          </w14:textFill>
        </w:rPr>
        <w:t xml:space="preserve">特别提醒 ：开标后，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须自行准备设备（包括但不限于笔记本电脑、无线网络）登录“江苏省政府采购（苏采云）平台”，按招标文件规定时间解密后，在评标过程中保持在线，等待评标委员会的询标和评标结果，中途不得离开。</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如未按要求应答，由此所产生的损失及风险由</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自行承担。</w:t>
      </w:r>
      <w:bookmarkEnd w:id="15"/>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八</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无效投标文件的确认：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有下列情况之一者，投标文件无效：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电子投标文件未按规定期限投标的；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电子投标文件未按招标文件要求签章的；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未按招标文件要求解密电子投标文件的；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的法定代表人授权代表，无法定代表人授权委托书的；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的法定代表人或被授权代表，未准时参加开标会议的；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被“信用中国”网站（</w:t>
      </w: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HYPERLINK "http://www.creditchina.gov.cn"</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t xml:space="preserve">）、中国政府采购网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投标文件未按招标文件规定的内容和要求填写的；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投标文件书写潦草、字迹模糊不清、无法辨认的；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投标文件中有招标文件未允许提供的选择性内容；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委托同一单位或者个人办理投标事宜的；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的单位负责人为同一人或者存在直接控股、管理关系的；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的投标文件存在明显的相似性或一致性，特征显示由同一单位或者同一个人编制的；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的投标资料相互混装、不同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17.</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投标文件含有</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不能接受的附加条件的；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19.</w:t>
      </w:r>
      <w:r>
        <w:rPr>
          <w:rFonts w:hint="eastAsia" w:ascii="宋体" w:hAnsi="宋体" w:eastAsia="宋体" w:cs="宋体"/>
          <w:bCs/>
          <w:color w:val="000000" w:themeColor="text1"/>
          <w:sz w:val="24"/>
          <w:szCs w:val="24"/>
          <w:highlight w:val="none"/>
          <w14:textFill>
            <w14:solidFill>
              <w14:schemeClr w14:val="tx1"/>
            </w14:solidFill>
          </w14:textFill>
        </w:rPr>
        <w:t xml:space="preserve">评标委员会认定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的报价明显低于其他通过符合性审查</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的报价，有可能影响产品质量或者不能诚信履约，且</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不能应评标委员会要求在评标现场合理的时间内提供书面说明（必要时评标委员会可要求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提交相关证明材料）证明其报价合理性的；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21.</w:t>
      </w:r>
      <w:r>
        <w:rPr>
          <w:rFonts w:hint="eastAsia" w:ascii="宋体" w:hAnsi="宋体" w:eastAsia="宋体" w:cs="宋体"/>
          <w:bCs/>
          <w:color w:val="000000" w:themeColor="text1"/>
          <w:sz w:val="24"/>
          <w:szCs w:val="24"/>
          <w:highlight w:val="none"/>
          <w14:textFill>
            <w14:solidFill>
              <w14:schemeClr w14:val="tx1"/>
            </w14:solidFill>
          </w14:textFill>
        </w:rPr>
        <w:t xml:space="preserve">未通过符合性审查的；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投标文件内容不全或不符合招标文件中规定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实质性要求的；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bCs/>
          <w:color w:val="000000" w:themeColor="text1"/>
          <w:sz w:val="24"/>
          <w:szCs w:val="24"/>
          <w:highlight w:val="none"/>
          <w14:textFill>
            <w14:solidFill>
              <w14:schemeClr w14:val="tx1"/>
            </w14:solidFill>
          </w14:textFill>
        </w:rPr>
        <w:t xml:space="preserve">未按要求提供第三章项目要求和有关说明中须提供的相关证明材料的；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.暗标未按招标文件要求编制的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bCs/>
          <w:color w:val="000000" w:themeColor="text1"/>
          <w:sz w:val="24"/>
          <w:szCs w:val="24"/>
          <w:highlight w:val="none"/>
          <w14:textFill>
            <w14:solidFill>
              <w14:schemeClr w14:val="tx1"/>
            </w14:solidFill>
          </w14:textFill>
        </w:rPr>
        <w:t xml:space="preserve">.法律法规和招标文件规定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无效情形。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宋体"/>
          <w:bCs/>
          <w:color w:val="000000" w:themeColor="text1"/>
          <w:sz w:val="24"/>
          <w:szCs w:val="24"/>
          <w:highlight w:val="none"/>
          <w14:textFill>
            <w14:solidFill>
              <w14:schemeClr w14:val="tx1"/>
            </w14:solidFill>
          </w14:textFill>
        </w:rPr>
        <w:t xml:space="preserve">投标系统中不同投标人的MAC地址一致或标书制作工具客户端标识码一致的。</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27.</w:t>
      </w:r>
      <w:r>
        <w:rPr>
          <w:rFonts w:hint="eastAsia" w:ascii="宋体" w:hAnsi="宋体" w:eastAsia="宋体" w:cs="宋体"/>
          <w:bCs/>
          <w:color w:val="000000"/>
          <w:sz w:val="24"/>
          <w:szCs w:val="24"/>
          <w:lang w:val="en-US" w:eastAsia="zh-CN"/>
        </w:rPr>
        <w:t xml:space="preserve">（一）采购人应当在采购文件中明确，政府采购评审中出现下列情形之一的，评审委员会应当启动异常低价投标（响应）审查程序：</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3.投标（响应）报价低于采购项目最高限价45%的，即投标（响应）报价&lt;采购项目最高限价×45%；</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（二）评审委员会启动异常低价投标（响应）审查后，属于前述第1项至第4项情形的，应当要求相关供应商在评审现场合理的时间内对投标（响应）价格作出解释，</w:t>
      </w:r>
      <w:r>
        <w:rPr>
          <w:rFonts w:hint="eastAsia" w:ascii="宋体" w:hAnsi="宋体" w:eastAsia="宋体" w:cs="宋体"/>
          <w:bCs/>
          <w:color w:val="000000"/>
          <w:sz w:val="24"/>
          <w:szCs w:val="24"/>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宋体"/>
          <w:bCs/>
          <w:color w:val="000000"/>
          <w:sz w:val="24"/>
          <w:szCs w:val="24"/>
          <w:lang w:val="en-US"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0"/>
        <w:spacing w:line="360" w:lineRule="auto"/>
        <w:rPr>
          <w:rFonts w:hint="eastAsia"/>
        </w:rPr>
      </w:pPr>
      <w:r>
        <w:rPr>
          <w:rFonts w:hint="eastAsia" w:ascii="宋体" w:hAnsi="宋体" w:eastAsia="宋体" w:cs="宋体"/>
          <w:bCs/>
          <w:color w:val="000000"/>
          <w:sz w:val="24"/>
          <w:szCs w:val="24"/>
        </w:rPr>
        <w:t xml:space="preserve">27.投标系统中不同投标人的MAC地址一致或标书制作工具客户端标识码一致的。</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九</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开标、评标：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1．所有投标单位在招标文件规定的时间内解密各自投标文件。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 投标截止时间后参加投标的供应商或解密投标文件的供应商不足三家的，不开标；开标后，所有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可在线上开标大厅中看到所有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的投标报价。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3．投标文件的审查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 投标文件报价出现前后不一致的，按照下列规定修正：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①</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②</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大写金额和小写金额不一致的，以大写金额为准；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③</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④</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总价金额与按单价汇总金额不一致的，以单价金额计算结果为准。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同时出现两种以上不一致的，按照前款规定的顺序修正。修正后的报价评标委员会应当以书面形式要求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作出必要的澄清、说明或者补正，经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确认后产生约束力，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不确认的，其投标无效。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对不同文字文本投标文件的解释发生异议的，以中文文本为准。</w:t>
      </w:r>
      <w:r/>
    </w:p>
    <w:p>
      <w:pPr>
        <w:ind w:firstLine="480"/>
        <w:spacing w:line="360" w:lineRule="auto"/>
        <w:rPr>
          <w:rFonts w:hint="eastAsia"/>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未参加开标的，视同认可开标结果。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4．评标程序</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评标工作由无锡市公共资源交易中心锡山分中心负责组织，具体评标事务由依法组建的评标委员会负责。</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投标文件初审。初审分为资格性检查和符合性检查。</w:t>
      </w:r>
      <w:r/>
    </w:p>
    <w:p>
      <w:pPr>
        <w:ind w:firstLine="48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查询</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在投标截止时间之前，是否被列入失信被执行人、重大税收违法案件当事人名单、政府采购严重违法失信行为记录名单，以确定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是否具备投标资格。信用查询结果以网页打印的形式留存并归档。</w:t>
      </w:r>
      <w:r/>
    </w:p>
    <w:p>
      <w:pPr>
        <w:jc w:val="center"/>
        <w:spacing w:line="440" w:lineRule="exact"/>
        <w:tabs>
          <w:tab w:val="left" w:pos="480" w:leader="none"/>
        </w:tabs>
        <w:rPr>
          <w:highlight w:val="none"/>
        </w:rPr>
        <w:outlineLvl w:val="0"/>
      </w:pPr>
      <w:r>
        <w:rPr>
          <w:rFonts w:hint="eastAsia" w:ascii="宋体" w:hAnsi="宋体" w:eastAsia="宋体" w:cs="宋体"/>
          <w:b/>
          <w:color w:val="000000"/>
          <w:sz w:val="24"/>
          <w:szCs w:val="24"/>
          <w:highlight w:val="none"/>
        </w:rPr>
        <w:t xml:space="preserve">资格性审查表</w:t>
      </w:r>
      <w:r/>
    </w:p>
    <w:tbl>
      <w:tblPr>
        <w:tblStyle w:val="1031"/>
        <w:tblpPr w:horzAnchor="page" w:tblpX="1557" w:vertAnchor="text" w:tblpY="1111" w:leftFromText="180" w:topFromText="0" w:rightFromText="180" w:bottomFromText="0"/>
        <w:tblW w:w="4999" w:type="pct"/>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70"/>
        <w:gridCol w:w="3188"/>
        <w:gridCol w:w="5428"/>
      </w:tblGrid>
      <w:tr>
        <w:trPr>
          <w:trHeight w:val="564"/>
        </w:trPr>
        <w:tc>
          <w:tcPr>
            <w:tcW w:w="361" w:type="pct"/>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gridSpan w:val="2"/>
            <w:tcW w:w="4638" w:type="pct"/>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资格审查内容</w:t>
            </w:r>
            <w:r/>
          </w:p>
        </w:tc>
      </w:tr>
      <w:tr>
        <w:trPr>
          <w:trHeight w:val="519"/>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关于资格的声明函</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trHeight w:val="870"/>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具有独立承担民事责任的能力</w:t>
            </w:r>
            <w:r/>
          </w:p>
        </w:tc>
        <w:tc>
          <w:tcPr>
            <w:tcW w:w="2921" w:type="pct"/>
            <w:vAlign w:val="center"/>
            <w:textDirection w:val="lrTb"/>
            <w:noWrap w:val="false"/>
          </w:tcPr>
          <w:p>
            <w:pPr>
              <w:keepLines w:val="0"/>
              <w:keepNext w:val="0"/>
              <w:pageBreakBefore w:val="0"/>
              <w:spacing w:line="240" w:lineRule="auto"/>
              <w:widowControl w:val="off"/>
              <w:tabs>
                <w:tab w:val="left" w:pos="105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tc>
      </w:tr>
      <w:tr>
        <w:trPr>
          <w:trHeight w:val="90"/>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供应商法定代表人（其他组织或者自然人）授权委托书</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法定代表人亲自参与投标的除外，投标人如是自然人情形的，可不提供，格式见附件</w:t>
            </w:r>
            <w:r/>
          </w:p>
        </w:tc>
      </w:tr>
      <w:tr>
        <w:trPr>
          <w:trHeight w:val="644"/>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供应商法定代表人（自然人）身份证扫描件</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身份证应为正、反面</w:t>
            </w:r>
            <w:r/>
          </w:p>
        </w:tc>
      </w:tr>
      <w:tr>
        <w:trPr>
          <w:trHeight w:val="644"/>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供应商法定代表人（其他组织或者自然人）授权代表身份证扫描件</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身份证应为正、反面，法定代表人（自然人）亲自参加投标的除外</w:t>
            </w:r>
            <w:r/>
          </w:p>
        </w:tc>
      </w:tr>
      <w:tr>
        <w:trPr>
          <w:trHeight w:val="375"/>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具有良好的商业信誉和健全的财务会计制度</w:t>
            </w:r>
            <w:r/>
          </w:p>
        </w:tc>
        <w:tc>
          <w:tcPr>
            <w:tcW w:w="2921" w:type="pct"/>
            <w:vAlign w:val="center"/>
            <w:textDirection w:val="lrTb"/>
            <w:noWrap w:val="false"/>
          </w:tcPr>
          <w:p>
            <w:pPr>
              <w:ind w:left="0" w:right="0" w:firstLine="0"/>
              <w:jc w:val="both"/>
              <w:spacing w:before="0" w:after="0"/>
              <w:rPr>
                <w:rFonts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p>
        </w:tc>
      </w:tr>
      <w:tr>
        <w:trPr>
          <w:trHeight w:val="951"/>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具有依法缴纳税收的良好记录</w:t>
            </w:r>
            <w:r/>
          </w:p>
        </w:tc>
        <w:tc>
          <w:tcPr>
            <w:tcW w:w="2921" w:type="pct"/>
            <w:vAlign w:val="top"/>
            <w:textDirection w:val="lrTb"/>
            <w:noWrap w:val="false"/>
          </w:tcPr>
          <w:p>
            <w:pPr>
              <w:ind w:left="0" w:right="0" w:firstLine="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若供应商无需依法缴纳税收，请提供纳税申报表</w:t>
            </w:r>
            <w:r/>
          </w:p>
        </w:tc>
      </w:tr>
      <w:tr>
        <w:trPr>
          <w:trHeight w:val="943"/>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具有依法缴纳社会保障资金的良好记录</w:t>
            </w:r>
            <w:r/>
          </w:p>
        </w:tc>
        <w:tc>
          <w:tcPr>
            <w:tcW w:w="2921" w:type="pct"/>
            <w:vAlign w:val="top"/>
            <w:textDirection w:val="lrTb"/>
            <w:noWrap w:val="false"/>
          </w:tcPr>
          <w:p>
            <w:pPr>
              <w:ind w:left="0" w:right="0" w:firstLine="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供应商近三个月中任意一个月份（不含投标当月）的依法缴纳社会保障资金的相关材料（提供相关主管部门证明或银行代扣证明）扫描件，成立不满三个自然月的公司（企业）除外</w:t>
            </w:r>
            <w:r/>
          </w:p>
        </w:tc>
      </w:tr>
      <w:tr>
        <w:trPr>
          <w:trHeight w:val="602"/>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承诺书</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trHeight w:val="747"/>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落实政府采购政策需满足的资格要求</w:t>
            </w:r>
            <w:r/>
          </w:p>
        </w:tc>
        <w:tc>
          <w:tcPr>
            <w:tcW w:w="2921" w:type="pct"/>
            <w:vAlign w:val="center"/>
            <w:textDirection w:val="lrTb"/>
            <w:noWrap w:val="false"/>
          </w:tcPr>
          <w:p>
            <w:pPr>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无</w:t>
            </w:r>
            <w:r/>
          </w:p>
        </w:tc>
      </w:tr>
      <w:tr>
        <w:trPr>
          <w:trHeight w:val="602"/>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特定资格要求</w:t>
            </w:r>
            <w:r/>
          </w:p>
        </w:tc>
        <w:tc>
          <w:tcPr>
            <w:tcW w:w="2921" w:type="pct"/>
            <w:vAlign w:val="center"/>
            <w:textDirection w:val="lrTb"/>
            <w:noWrap w:val="false"/>
          </w:tcPr>
          <w:p>
            <w:pPr>
              <w:ind w:firstLine="456"/>
              <w:spacing w:line="360" w:lineRule="auto"/>
              <w:rPr>
                <w:rFonts w:hint="eastAsia" w:ascii="宋体" w:hAnsi="宋体" w:eastAsia="宋体" w:cs="宋体"/>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1）电梯制造商必须具备市场监督管理部门颁发的《中华人民共和国特种设备生产许可证》（许可项目为电梯制造（含安装、修理、改造），许可子项目包括曳引驱动乘客电梯（含消防员电梯）），许可参数中的最大速</w:t>
            </w:r>
            <w:r>
              <w:rPr>
                <w:rFonts w:hint="eastAsia" w:ascii="宋体" w:hAnsi="宋体" w:eastAsia="宋体" w:cs="宋体"/>
                <w:color w:val="000000"/>
                <w:sz w:val="24"/>
                <w:szCs w:val="24"/>
                <w:highlight w:val="none"/>
                <w:lang w:val="en-US" w:eastAsia="zh-CN"/>
              </w:rPr>
              <w:t xml:space="preserve">度满足本项目提升速度要求。（2）投标供应商如为代理商的，必须具备市场监督管理部门颁发的电梯安装资质（许可项目为电梯安装（含修理），许可子项目包括曳引驱动乘客电梯（含消防员电梯）），许可参数中的最大速度满足本项目提升速度要求。</w:t>
            </w:r>
            <w:r/>
          </w:p>
        </w:tc>
      </w:tr>
      <w:tr>
        <w:trPr>
          <w:trHeight w:val="1599"/>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信用记录</w:t>
            </w:r>
            <w:r/>
          </w:p>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由网上直接查询，供应商无需提供证明材料。)</w:t>
            </w:r>
            <w:r/>
          </w:p>
        </w:tc>
        <w:tc>
          <w:tcPr>
            <w:tcW w:w="2921" w:type="pc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未被列入“信用中国”网站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“失信被执行人或重大税收违法失信主体或政府采购严重违法失信行为”记录名单；不处于中国政府采购网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www.ccgp.gov.cn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“政府采购严重违法失信行为信息记录”中禁止参加政府采购活动期间。（有上述处罚记录但处罚期已届满的，视为无记录，以代理机构评标当日查询结果为准）。</w:t>
            </w:r>
            <w:r/>
          </w:p>
        </w:tc>
      </w:tr>
      <w:tr>
        <w:trPr>
          <w:trHeight w:val="627"/>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关于联合体投标</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本项目不接受联合体投标；不允许分包、转包</w:t>
            </w:r>
            <w:r/>
          </w:p>
        </w:tc>
      </w:tr>
    </w:tbl>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特别提醒：</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资</w:t>
      </w:r>
      <w:r>
        <w:rPr>
          <w:rFonts w:hint="eastAsia" w:ascii="宋体" w:hAnsi="宋体" w:eastAsia="宋体" w:cs="宋体"/>
          <w:bCs/>
          <w:color w:val="000000" w:themeColor="text1"/>
          <w:sz w:val="24"/>
          <w:szCs w:val="24"/>
          <w:highlight w:val="none"/>
          <w14:textFill>
            <w14:solidFill>
              <w14:schemeClr w14:val="tx1"/>
            </w14:solidFill>
          </w14:textFill>
        </w:rPr>
        <w:t xml:space="preserve">格审查不合格的投标供应商的投标文件不进入后续评审。</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ascii="宋体" w:hAnsi="宋体" w:eastAsia="宋体" w:cs="宋体"/>
          <w:b/>
          <w:color w:val="000000"/>
          <w:sz w:val="24"/>
          <w:szCs w:val="24"/>
          <w:highlight w:val="none"/>
        </w:rPr>
        <w:outlineLvl w:val="0"/>
      </w:pPr>
      <w:r/>
      <w:bookmarkStart w:id="16" w:name="_Toc116946315"/>
      <w:r>
        <w:rPr>
          <w:rFonts w:hint="eastAsia" w:ascii="宋体" w:hAnsi="宋体" w:eastAsia="宋体" w:cs="宋体"/>
          <w:b/>
          <w:color w:val="000000"/>
          <w:sz w:val="24"/>
          <w:szCs w:val="24"/>
          <w:highlight w:val="none"/>
        </w:rPr>
        <w:t xml:space="preserve">符合性审查表</w:t>
      </w:r>
      <w:bookmarkEnd w:id="16"/>
      <w:r/>
      <w:r/>
    </w:p>
    <w:tbl>
      <w:tblPr>
        <w:tblStyle w:val="1031"/>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2659"/>
        <w:gridCol w:w="5614"/>
      </w:tblGrid>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序号</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评审点要求概况</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评审点具体描述</w:t>
            </w:r>
            <w:r/>
          </w:p>
        </w:tc>
      </w:tr>
      <w:tr>
        <w:trPr>
          <w:trHeight w:val="435"/>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1</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投标函</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按招标文件填写，格式见附件</w:t>
            </w:r>
            <w:r/>
          </w:p>
        </w:tc>
      </w:tr>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2</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开标一览表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sz w:val="24"/>
                <w:szCs w:val="24"/>
                <w:highlight w:val="none"/>
              </w:rPr>
              <w:t xml:space="preserve">本表无需上传，评审时以苏采云系统自带的开标一览表为准</w:t>
            </w:r>
            <w:r/>
          </w:p>
        </w:tc>
      </w:tr>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3</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报价明细表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4</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服务保障承诺书</w:t>
            </w:r>
            <w:r/>
          </w:p>
        </w:tc>
        <w:tc>
          <w:tcPr>
            <w:tcW w:w="5614" w:type="dxa"/>
            <w:vAlign w:val="center"/>
            <w:textDirection w:val="lrTb"/>
            <w:noWrap w:val="false"/>
          </w:tcPr>
          <w:p>
            <w:pPr>
              <w:jc w:val="center"/>
              <w:spacing w:line="440" w:lineRule="exact"/>
              <w:tabs>
                <w:tab w:val="left" w:pos="480" w:leader="none"/>
                <w:tab w:val="left" w:pos="2009"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5</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投标偏离表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6</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投标供应商基本情况表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82"/>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lang w:val="en-US" w:eastAsia="zh-CN"/>
              </w:rPr>
              <w:outlineLvl w:val="0"/>
            </w:pPr>
            <w:r>
              <w:rPr>
                <w:rFonts w:hint="eastAsia" w:ascii="宋体" w:hAnsi="宋体" w:eastAsia="宋体" w:cs="宋体"/>
                <w:bCs/>
                <w:color w:val="000000"/>
                <w:sz w:val="24"/>
                <w:szCs w:val="24"/>
                <w:highlight w:val="none"/>
                <w:lang w:val="en-US" w:eastAsia="zh-CN"/>
              </w:rPr>
              <w:t xml:space="preserve">7</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投标文件内容</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不存在供应商须知第八条中的情形</w:t>
            </w:r>
            <w:r/>
          </w:p>
        </w:tc>
      </w:tr>
    </w:tbl>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澄清有关问题。对投标文件中含义不明确、同类问题表述不一致或者有明显文字和计算错误的内容，评标委员会可以通过江苏省政府采购（苏采云）平台发起答疑澄清，要求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作出必要的澄清、说明或者纠正。</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5．评标方法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供应商通过初审的，方可进入比较与评价程序，本项目采用综合评分法。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未列入本评分标准的其他条件不作为评分内容。</w:t>
      </w:r>
      <w:r>
        <w:rPr>
          <w:rFonts w:hint="eastAsia" w:ascii="宋体" w:hAnsi="宋体" w:eastAsia="宋体" w:cs="宋体"/>
          <w:bCs/>
          <w:color w:val="000000"/>
          <w:sz w:val="24"/>
          <w:szCs w:val="24"/>
          <w:highlight w:val="none"/>
        </w:rPr>
        <w:t xml:space="preserve">提供相同品牌产品且通过资格审查、符合性审查的不同供应商参加同一合同项下投标的，按一家供应商计算，评审后得分最高的同品牌供应商获得评审排名资格；评审得分相同的，由采购人确定其中一个供应商获得评审排名资格，其他同品牌供应商无评审排名资格。非单一产品采购项目，多家供应商提供的核心产品品牌相同的，同上处理。</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采购本国产品的支持政策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14:textFill>
            <w14:solidFill>
              <w14:schemeClr w14:val="tx1"/>
            </w14:solidFill>
          </w14:textFill>
        </w:rPr>
        <w:t xml:space="preserve">.1本国产品价格扣除政策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14:textFill>
            <w14:solidFill>
              <w14:schemeClr w14:val="tx1"/>
            </w14:solidFill>
          </w14:textFill>
        </w:rPr>
        <w:t xml:space="preserve">.2注意事项</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（1）提供本国产品进行投标（报价）的供应商需在其投</w:t>
      </w:r>
      <w:r>
        <w:rPr>
          <w:rFonts w:hint="eastAsia" w:ascii="宋体" w:hAnsi="宋体" w:eastAsia="宋体" w:cs="宋体"/>
          <w:b/>
          <w:bCs w:val="0"/>
          <w:color w:val="000000" w:themeColor="text1"/>
          <w:sz w:val="24"/>
          <w:szCs w:val="24"/>
          <w:highlight w:val="none"/>
          <w14:textFill>
            <w14:solidFill>
              <w14:schemeClr w14:val="tx1"/>
            </w14:solidFill>
          </w14:textFill>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（2）当采购项目或者采购包中含有多种产品，除按上述要求提供《关于符合本国产品标准的声明函》外，供应商还应在《</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报价明细表</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即，当小微型企业价格扣除政策和本国产品价格扣除政策同时享受时，按以下计算方式进行计算：</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供应商参与评审的报价=供应商投标总报价×[1-（小微型企业价格扣除+本国产品价格扣除）]</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例如，供应商总报价1000000元，经认定可以享受小微型企业价格扣除政策以及本国产品价格扣除政策的，则该供应商参与评审的报价为：</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1000000×[1-（10%+20%）]=700000元</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6．评标标准：详见附件。</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17" w:name="_Toc112006920"/>
      <w:r/>
      <w:bookmarkStart w:id="18" w:name="_Toc112006921"/>
      <w:r/>
      <w:bookmarkStart w:id="19" w:name="_Toc112006922"/>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定标：</w:t>
      </w:r>
      <w:bookmarkEnd w:id="17"/>
      <w:r/>
      <w:bookmarkEnd w:id="18"/>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评标委员会根据招标文件规定的评标方法和评标标准进行评审，按评审得分由高到低的原则推荐中标候选人，无锡市公共资源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招标文件未规定的，采取随机抽取的方式确定。无锡市公共资源交易中心锡山分中心将在江苏政府采购网上发布中标公告。无锡市公共资源交易中心锡山分中心和评标委员会对未中标原因不</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作解释</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2．在发布中标公告的同时，无锡市公共资源交易中心锡山分中心将向中标供应商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发出</w:t>
      </w:r>
      <w:r>
        <w:rPr>
          <w:rFonts w:hint="eastAsia" w:ascii="宋体" w:hAnsi="宋体" w:eastAsia="宋体" w:cs="宋体"/>
          <w:bCs/>
          <w:color w:val="000000" w:themeColor="text1"/>
          <w:sz w:val="24"/>
          <w:szCs w:val="24"/>
          <w:highlight w:val="none"/>
          <w14:textFill>
            <w14:solidFill>
              <w14:schemeClr w14:val="tx1"/>
            </w14:solidFill>
          </w14:textFill>
        </w:rPr>
        <w:t xml:space="preserve">中标通知书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请中标人在中标结果公告届满之日起30日内</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3．投标供应商电子投标文件将作为电子档案保存。</w:t>
      </w:r>
      <w:bookmarkEnd w:id="19"/>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0" w:name="_Toc112006924"/>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十一</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废标的确认：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在招标采购中，出现下列情况之一的，应予废标：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1．符合专业条件的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或者对招标文件作出实质性响应的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不足三家；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2．出现影响采购公正的违法、违规行为；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的报价均超过采购预算，采购人不能支付的；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4．因重大变故，采购任务取消。</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1" w:name="_Toc112006923"/>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中标无效的确认：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若有充分证据证明，中标人出现下列情况之一的，一经查实，将被取消中标资格：</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提供虚假材料谋取中标的；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采取不正当手段诋毁、排挤其他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与招标采购单位、其他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恶意串通的；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向招标采购单位行贿或者提供其他不正当利益的；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项情形之一的，中标无效。有上述</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1"/>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有下列情形之一的，视为投标人串通投标，投标无效：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.1不同投标人的投标文件由同一单位或者个人编制。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.2不同投标人委托同一单位或者个人办理投标事宜。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.3 不同投标人的投标文件载明的项目管理成员或者联系人员为同一人。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.4不同投标人的投标文件异常一致或者投标报价呈规律性差异。</w:t>
      </w:r>
      <w:bookmarkEnd w:id="20"/>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签订、履行合同：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．中标供应商非因不可抗力未履行招、投标文件和合同规定的义务，一经查实，无锡市公共资源交易中心锡山分中心将根据具体情况提请政府采购管理部门作出相应处理。</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2" w:name="_Toc112006925"/>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注意事项：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（1）中标后无正当理由不与采购人签订合同的；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（2）将中标项目转让给他人，或者在投标文件中未说明，且未经过采购人同意，将中标项目分包给他人的；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（3）拒绝履行合同义务的。</w:t>
      </w:r>
      <w:r/>
    </w:p>
    <w:p>
      <w:pPr>
        <w:ind w:firstLine="480"/>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十五</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质疑处理</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提出质疑的供应商应当是参与所</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2.2对采购过程提出质疑的，为各采购程序环节结束之日；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采购人、交易中心联系人、联系方式、通信地址见招标文件第一章。</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 以下情形的质疑不予受理</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5.1 内容不符合《政府采购质疑和投诉办法》第十二条规定的质疑。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5.2 超出政府采购法定期限的质疑。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5.3 以传真、电子邮件等方式递交的非原件形式的质疑。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（十六）</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中标服务费：</w:t>
      </w:r>
      <w:bookmarkEnd w:id="22"/>
      <w:r>
        <w:rPr>
          <w:rFonts w:hint="eastAsia" w:ascii="宋体" w:hAnsi="宋体" w:eastAsia="宋体" w:cs="宋体"/>
          <w:b/>
          <w:bCs w:val="0"/>
          <w:color w:val="000000" w:themeColor="text1"/>
          <w:sz w:val="24"/>
          <w:szCs w:val="24"/>
          <w:highlight w:val="none"/>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本次招标，无锡市公共资源交易中心锡山分中心为中标供应商提供免费服务，不收取中标服务费。</w:t>
      </w:r>
      <w:r/>
    </w:p>
    <w:p>
      <w:pPr>
        <w:pStyle w:val="1242"/>
        <w:ind w:firstLine="422"/>
        <w:jc w:val="both"/>
        <w:keepLines w:val="0"/>
        <w:keepNext w:val="0"/>
        <w:spacing w:before="0" w:after="0"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（十七）服务（包含与服务相关的货物）的追加</w:t>
      </w:r>
      <w:r/>
    </w:p>
    <w:p>
      <w:pPr>
        <w:ind w:firstLine="480"/>
        <w:spacing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sectPr>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eastAsia="宋体" w:cs="宋体"/>
          <w:bCs/>
          <w:color w:val="000000" w:themeColor="text1"/>
          <w:sz w:val="24"/>
          <w:szCs w:val="24"/>
          <w:highlight w:val="none"/>
          <w14:textFill>
            <w14:solidFill>
              <w14:schemeClr w14:val="tx1"/>
            </w14:solidFill>
          </w14:textFill>
        </w:rPr>
      </w:r>
      <w:r/>
    </w:p>
    <w:p>
      <w:pPr>
        <w:jc w:val="center"/>
        <w:spacing w:line="360" w:lineRule="auto"/>
        <w:rPr>
          <w:rFonts w:hint="eastAsia" w:ascii="宋体" w:hAnsi="宋体" w:eastAsia="宋体" w:cs="宋体"/>
          <w:color w:val="auto"/>
          <w:highlight w:val="none"/>
        </w:rPr>
      </w:pPr>
      <w:r>
        <w:rPr>
          <w:rFonts w:hint="eastAsia" w:ascii="宋体" w:hAnsi="宋体" w:eastAsia="宋体" w:cs="宋体"/>
          <w:b/>
          <w:color w:val="000000" w:themeColor="text1"/>
          <w:sz w:val="36"/>
          <w:szCs w:val="36"/>
          <w14:textFill>
            <w14:solidFill>
              <w14:schemeClr w14:val="tx1"/>
            </w14:solidFill>
          </w14:textFill>
        </w:rPr>
        <w:t xml:space="preserve">三、项目要求和有关说明</w:t>
      </w:r>
      <w:bookmarkStart w:id="23" w:name="_Toc3995"/>
      <w:r/>
      <w:r/>
    </w:p>
    <w:p>
      <w:pPr>
        <w:ind w:firstLine="480"/>
        <w:jc w:val="left"/>
        <w:spacing w:line="360" w:lineRule="auto"/>
        <w:rPr>
          <w:rFonts w:hint="eastAsia" w:ascii="宋体" w:hAnsi="宋体" w:cs="宋体"/>
          <w:sz w:val="24"/>
        </w:rPr>
      </w:pPr>
      <w:r>
        <w:rPr>
          <w:rFonts w:hint="eastAsia" w:ascii="宋体" w:hAnsi="宋体" w:cs="宋体"/>
          <w:sz w:val="24"/>
        </w:rPr>
        <w:t xml:space="preserve">本项目为东亭街道安置房小区老旧电梯更新项目，投标人所投内容必须满足以下要求，不得有负偏离，若不满足视为无效投标文件。项目需求如下：</w:t>
      </w:r>
      <w:r/>
    </w:p>
    <w:p>
      <w:pPr>
        <w:ind w:firstLine="480"/>
        <w:jc w:val="left"/>
        <w:spacing w:line="360" w:lineRule="auto"/>
        <w:rPr>
          <w:rFonts w:hint="eastAsia" w:ascii="宋体" w:hAnsi="宋体" w:cs="宋体"/>
          <w:b/>
          <w:bCs/>
          <w:sz w:val="24"/>
        </w:rPr>
      </w:pPr>
      <w:r>
        <w:rPr>
          <w:rFonts w:hint="eastAsia" w:ascii="宋体" w:hAnsi="宋体" w:cs="宋体"/>
          <w:b/>
          <w:bCs/>
          <w:sz w:val="24"/>
        </w:rPr>
        <w:t xml:space="preserve">本项目属性：货物类</w:t>
      </w:r>
      <w:r/>
    </w:p>
    <w:p>
      <w:pPr>
        <w:ind w:firstLine="480"/>
        <w:spacing w:line="360" w:lineRule="auto"/>
        <w:rPr>
          <w:rFonts w:hint="eastAsia" w:ascii="宋体" w:hAnsi="宋体"/>
          <w:sz w:val="24"/>
          <w:szCs w:val="24"/>
        </w:rPr>
      </w:pPr>
      <w:r>
        <w:rPr>
          <w:rFonts w:hint="eastAsia" w:ascii="宋体" w:hAnsi="宋体"/>
          <w:sz w:val="24"/>
          <w:szCs w:val="24"/>
        </w:rPr>
        <w:t xml:space="preserve">本项目中的</w:t>
      </w:r>
      <w:r>
        <w:rPr>
          <w:rFonts w:hint="eastAsia" w:ascii="宋体" w:hAnsi="宋体" w:cs="宋体"/>
          <w:b/>
          <w:bCs/>
          <w:sz w:val="24"/>
        </w:rPr>
        <w:t xml:space="preserve">金锡苑(北区)电梯号①</w:t>
      </w:r>
      <w:r>
        <w:rPr>
          <w:rFonts w:hint="eastAsia" w:ascii="宋体" w:hAnsi="宋体"/>
          <w:sz w:val="24"/>
          <w:szCs w:val="24"/>
        </w:rPr>
        <w:t xml:space="preserve">为核心产品。</w:t>
      </w:r>
      <w:r/>
    </w:p>
    <w:p>
      <w:pPr>
        <w:ind w:firstLine="480"/>
        <w:spacing w:line="360" w:lineRule="auto"/>
        <w:rPr>
          <w:rFonts w:hint="default" w:ascii="宋体" w:hAnsi="宋体" w:eastAsia="等线"/>
          <w:b/>
          <w:bCs w:val="0"/>
          <w:sz w:val="24"/>
          <w:szCs w:val="24"/>
          <w:lang w:val="en-US" w:eastAsia="zh-CN"/>
        </w:rPr>
      </w:pPr>
      <w:r>
        <w:rPr>
          <w:rFonts w:hint="eastAsia" w:ascii="宋体"/>
          <w:b/>
          <w:bCs w:val="0"/>
          <w:color w:val="000000" w:themeColor="text1"/>
          <w:sz w:val="24"/>
          <w:szCs w:val="24"/>
          <w:highlight w:val="none"/>
          <w14:textFill>
            <w14:solidFill>
              <w14:schemeClr w14:val="tx1"/>
            </w14:solidFill>
          </w14:textFill>
        </w:rPr>
        <w:t xml:space="preserve">本项目不接受进口产品参与投标。</w:t>
      </w:r>
      <w:r/>
    </w:p>
    <w:p>
      <w:pPr>
        <w:ind w:firstLine="480"/>
        <w:spacing w:line="360" w:lineRule="auto"/>
        <w:rPr>
          <w:rFonts w:hint="eastAsia" w:ascii="宋体" w:hAnsi="宋体"/>
          <w:sz w:val="24"/>
          <w:szCs w:val="24"/>
        </w:rPr>
      </w:pPr>
      <w:r>
        <w:rPr>
          <w:rFonts w:hint="eastAsia" w:ascii="宋体" w:hAnsi="宋体"/>
          <w:b/>
          <w:bCs/>
          <w:sz w:val="24"/>
          <w:szCs w:val="24"/>
        </w:rPr>
        <w:t xml:space="preserve">本项目投标产品需满足超长期特别国债支持住宅老旧电梯更新改造政策要求，否则按无效报价处理</w:t>
      </w:r>
      <w:r>
        <w:rPr>
          <w:rFonts w:hint="eastAsia" w:ascii="宋体" w:hAnsi="宋体"/>
          <w:sz w:val="24"/>
          <w:szCs w:val="24"/>
        </w:rPr>
        <w:t xml:space="preserve">。具体要求详见市场监管总局办公厅关于进一步做好住宅老旧电梯更新有关工作的通知（市监特社发〔2025〕52号）。</w:t>
      </w:r>
      <w:r/>
    </w:p>
    <w:p>
      <w:pPr>
        <w:pStyle w:val="1022"/>
        <w:numPr>
          <w:ilvl w:val="255"/>
          <w:numId w:val="0"/>
        </w:numPr>
        <w:ind w:firstLine="480"/>
        <w:jc w:val="both"/>
        <w:spacing w:before="0" w:after="0" w:line="360" w:lineRule="auto"/>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r>
      <w:r/>
    </w:p>
    <w:p>
      <w:pPr>
        <w:pStyle w:val="1022"/>
        <w:numPr>
          <w:ilvl w:val="255"/>
          <w:numId w:val="0"/>
        </w:numPr>
        <w:ind w:firstLine="480"/>
        <w:jc w:val="both"/>
        <w:spacing w:before="0" w:after="0" w:line="360" w:lineRule="auto"/>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一、采购需求</w:t>
      </w:r>
      <w:r>
        <w:rPr>
          <w:rFonts w:asciiTheme="minorEastAsia" w:hAnsiTheme="minorEastAsia" w:eastAsiaTheme="minorEastAsia"/>
          <w:sz w:val="24"/>
          <w:szCs w:val="24"/>
          <w:lang w:eastAsia="zh-CN"/>
        </w:rPr>
        <w:t xml:space="preserve">清单</w:t>
      </w:r>
      <w:r/>
    </w:p>
    <w:p>
      <w:pPr>
        <w:numPr>
          <w:ilvl w:val="255"/>
          <w:numId w:val="0"/>
        </w:numPr>
        <w:contextualSpacing/>
        <w:ind w:firstLine="480"/>
        <w:spacing w:before="240" w:line="360" w:lineRule="auto"/>
        <w:rPr>
          <w:rFonts w:hint="eastAsia" w:asciiTheme="minorEastAsia" w:hAnsiTheme="minorEastAsia" w:eastAsiaTheme="minorEastAsia" w:cstheme="minorEastAsia"/>
          <w:b/>
          <w:bCs/>
          <w:sz w:val="24"/>
          <w:szCs w:val="28"/>
        </w:rPr>
      </w:pPr>
      <w:r/>
      <w:bookmarkStart w:id="24" w:name="_Hlk165207978"/>
      <w:r>
        <w:rPr>
          <w:rFonts w:hint="eastAsia" w:ascii="宋体" w:hAnsi="宋体" w:cs="宋体"/>
          <w:b/>
          <w:bCs/>
          <w:sz w:val="24"/>
          <w:szCs w:val="24"/>
          <w:u w:val="single"/>
        </w:rPr>
        <w:t xml:space="preserve">本项目为货物采购，中小企业声明函所对应的采购标的名称及对应的中小企业划分标准所属行业如下表：</w:t>
      </w:r>
      <w:r/>
    </w:p>
    <w:tbl>
      <w:tblPr>
        <w:tblStyle w:val="1031"/>
        <w:tblW w:w="8280" w:type="dxa"/>
        <w:tblInd w:w="93" w:type="dxa"/>
        <w:tblLayout w:type="autofit"/>
        <w:tblCellMar>
          <w:left w:w="108" w:type="dxa"/>
          <w:top w:w="0" w:type="dxa"/>
          <w:right w:w="108" w:type="dxa"/>
          <w:bottom w:w="0" w:type="dxa"/>
        </w:tblCellMar>
        <w:tblLook w:val="04A0" w:firstRow="1" w:lastRow="0" w:firstColumn="1" w:lastColumn="0" w:noHBand="0" w:noVBand="1"/>
      </w:tblPr>
      <w:tblGrid>
        <w:gridCol w:w="939"/>
        <w:gridCol w:w="3407"/>
        <w:gridCol w:w="1920"/>
        <w:gridCol w:w="2014"/>
      </w:tblGrid>
      <w:tr>
        <w:trPr>
          <w:trHeight w:val="454"/>
        </w:trPr>
        <w:tc>
          <w:tcPr>
            <w:tcBorders>
              <w:top w:val="single" w:color="000000" w:sz="8" w:space="0"/>
              <w:left w:val="single" w:color="000000" w:sz="8" w:space="0"/>
              <w:bottom w:val="single" w:color="000000" w:sz="4" w:space="0"/>
              <w:right w:val="single" w:color="000000" w:sz="4" w:space="0"/>
            </w:tcBorders>
            <w:tcW w:w="939" w:type="dxa"/>
            <w:vAlign w:val="center"/>
            <w:vMerge w:val="restart"/>
            <w:textDirection w:val="lrTb"/>
            <w:noWrap w:val="false"/>
          </w:tcPr>
          <w:p>
            <w:pPr>
              <w:jc w:val="center"/>
              <w:widowControl/>
              <w:rPr>
                <w:rFonts w:hint="eastAsia" w:ascii="黑体" w:hAnsi="宋体" w:eastAsia="黑体" w:cs="黑体"/>
                <w:color w:val="000000"/>
              </w:rPr>
            </w:pPr>
            <w:r>
              <w:rPr>
                <w:rFonts w:hint="eastAsia" w:ascii="黑体" w:hAnsi="宋体" w:eastAsia="黑体" w:cs="黑体"/>
                <w:color w:val="000000"/>
                <w:lang w:bidi="ar"/>
              </w:rPr>
              <w:t xml:space="preserve">序号</w:t>
            </w:r>
            <w:r/>
          </w:p>
        </w:tc>
        <w:tc>
          <w:tcPr>
            <w:tcBorders>
              <w:top w:val="single" w:color="000000" w:sz="8" w:space="0"/>
              <w:left w:val="single" w:color="000000" w:sz="4" w:space="0"/>
              <w:bottom w:val="single" w:color="000000" w:sz="4" w:space="0"/>
              <w:right w:val="single" w:color="000000" w:sz="4" w:space="0"/>
            </w:tcBorders>
            <w:tcW w:w="3407" w:type="dxa"/>
            <w:vAlign w:val="center"/>
            <w:vMerge w:val="restart"/>
            <w:textDirection w:val="lrTb"/>
            <w:noWrap w:val="false"/>
          </w:tcPr>
          <w:p>
            <w:pPr>
              <w:jc w:val="center"/>
              <w:widowControl/>
              <w:rPr>
                <w:rFonts w:hint="eastAsia" w:ascii="黑体" w:hAnsi="宋体" w:eastAsia="黑体" w:cs="黑体"/>
                <w:color w:val="000000"/>
              </w:rPr>
            </w:pPr>
            <w:r>
              <w:rPr>
                <w:rFonts w:hint="eastAsia" w:ascii="宋体" w:hAnsi="宋体" w:cs="宋体"/>
                <w:color w:val="000000"/>
                <w:sz w:val="22"/>
                <w:szCs w:val="22"/>
                <w:lang w:bidi="ar"/>
              </w:rPr>
              <w:t xml:space="preserve">名称</w:t>
            </w:r>
            <w:r/>
          </w:p>
        </w:tc>
        <w:tc>
          <w:tcPr>
            <w:tcBorders>
              <w:top w:val="single" w:color="000000" w:sz="8" w:space="0"/>
              <w:left w:val="single" w:color="000000" w:sz="4" w:space="0"/>
              <w:bottom w:val="single" w:color="000000" w:sz="4" w:space="0"/>
              <w:right w:val="single" w:color="000000" w:sz="4" w:space="0"/>
            </w:tcBorders>
            <w:tcW w:w="1920" w:type="dxa"/>
            <w:vAlign w:val="center"/>
            <w:vMerge w:val="restart"/>
            <w:textDirection w:val="lrTb"/>
            <w:noWrap w:val="false"/>
          </w:tcPr>
          <w:p>
            <w:pPr>
              <w:jc w:val="center"/>
              <w:widowControl/>
              <w:rPr>
                <w:rFonts w:hint="eastAsia" w:ascii="黑体" w:hAnsi="宋体" w:eastAsia="黑体" w:cs="黑体"/>
                <w:color w:val="000000"/>
              </w:rPr>
            </w:pPr>
            <w:r>
              <w:rPr>
                <w:rFonts w:hint="eastAsia" w:ascii="宋体" w:hAnsi="宋体" w:cs="宋体"/>
                <w:color w:val="000000"/>
                <w:sz w:val="22"/>
                <w:szCs w:val="22"/>
                <w:lang w:bidi="ar"/>
              </w:rPr>
              <w:t xml:space="preserve">所属行业</w:t>
            </w:r>
            <w:r/>
          </w:p>
        </w:tc>
        <w:tc>
          <w:tcPr>
            <w:tcBorders>
              <w:top w:val="single" w:color="000000" w:sz="8" w:space="0"/>
              <w:left w:val="single" w:color="000000" w:sz="4" w:space="0"/>
              <w:bottom w:val="single" w:color="000000" w:sz="4" w:space="0"/>
              <w:right w:val="single" w:color="000000" w:sz="4" w:space="0"/>
            </w:tcBorders>
            <w:tcW w:w="2014" w:type="dxa"/>
            <w:vAlign w:val="center"/>
            <w:vMerge w:val="restart"/>
            <w:textDirection w:val="lrTb"/>
            <w:noWrap w:val="false"/>
          </w:tcPr>
          <w:p>
            <w:pPr>
              <w:jc w:val="center"/>
              <w:widowControl/>
              <w:rPr>
                <w:rFonts w:hint="eastAsia" w:ascii="黑体" w:hAnsi="宋体" w:eastAsia="黑体" w:cs="黑体"/>
                <w:color w:val="000000"/>
              </w:rPr>
            </w:pPr>
            <w:r>
              <w:rPr>
                <w:rFonts w:hint="eastAsia" w:ascii="宋体" w:hAnsi="宋体" w:cs="宋体"/>
                <w:color w:val="000000"/>
                <w:sz w:val="22"/>
                <w:szCs w:val="22"/>
                <w:lang w:bidi="ar"/>
              </w:rPr>
              <w:t xml:space="preserve">备注</w:t>
            </w:r>
            <w:r/>
          </w:p>
        </w:tc>
      </w:tr>
      <w:tr>
        <w:trPr>
          <w:trHeight w:val="454"/>
        </w:trPr>
        <w:tc>
          <w:tcPr>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widowControl/>
              <w:rPr>
                <w:rFonts w:hint="eastAsia" w:ascii="宋体" w:hAnsi="宋体" w:cs="宋体"/>
                <w:color w:val="000000"/>
              </w:rPr>
            </w:pPr>
            <w:r>
              <w:rPr>
                <w:rFonts w:hint="eastAsia" w:ascii="宋体" w:hAnsi="宋体"/>
                <w:sz w:val="18"/>
                <w:szCs w:val="18"/>
              </w:rPr>
              <w:t xml:space="preserve">春江花园三期电梯号</w:t>
            </w:r>
            <w:r>
              <w:rPr>
                <w:rFonts w:hint="eastAsia" w:ascii="宋体" w:hAnsi="宋体" w:cs="宋体"/>
                <w:sz w:val="18"/>
                <w:szCs w:val="18"/>
              </w:rPr>
              <w:t xml:space="preserve">①</w:t>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sz w:val="22"/>
                <w:szCs w:val="22"/>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sz w:val="22"/>
                <w:szCs w:val="22"/>
                <w:lang w:bidi="ar"/>
              </w:rPr>
              <w:t xml:space="preserve">参数详见下表</w:t>
            </w:r>
            <w:r/>
          </w:p>
        </w:tc>
      </w:tr>
      <w:tr>
        <w:trPr>
          <w:trHeight w:val="454"/>
        </w:trPr>
        <w:tc>
          <w:tcPr>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widowControl/>
              <w:rPr>
                <w:rFonts w:hint="eastAsia" w:ascii="宋体" w:hAnsi="宋体" w:cs="宋体"/>
                <w:color w:val="000000"/>
              </w:rPr>
            </w:pPr>
            <w:r>
              <w:rPr>
                <w:rFonts w:hint="eastAsia" w:ascii="宋体" w:hAnsi="宋体"/>
                <w:sz w:val="18"/>
                <w:szCs w:val="18"/>
              </w:rPr>
              <w:t xml:space="preserve">春江花园三期电梯号</w:t>
            </w:r>
            <w:r>
              <w:rPr>
                <w:rFonts w:hint="eastAsia" w:ascii="宋体" w:hAnsi="宋体" w:cs="宋体"/>
                <w:sz w:val="18"/>
                <w:szCs w:val="18"/>
              </w:rPr>
              <w:t xml:space="preserve">②</w:t>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sz w:val="22"/>
                <w:szCs w:val="22"/>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sz w:val="22"/>
                <w:szCs w:val="22"/>
                <w:lang w:bidi="ar"/>
              </w:rPr>
              <w:t xml:space="preserve">参数详见下表</w:t>
            </w:r>
            <w:r/>
          </w:p>
        </w:tc>
      </w:tr>
      <w:tr>
        <w:trPr>
          <w:trHeight w:val="454"/>
        </w:trPr>
        <w:tc>
          <w:tcPr>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w:t>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widowControl/>
              <w:rPr>
                <w:rFonts w:hint="eastAsia" w:ascii="宋体" w:hAnsi="宋体" w:cs="宋体"/>
                <w:color w:val="000000"/>
              </w:rPr>
            </w:pPr>
            <w:r>
              <w:rPr>
                <w:rFonts w:hint="eastAsia" w:ascii="宋体" w:hAnsi="宋体"/>
                <w:sz w:val="18"/>
                <w:szCs w:val="18"/>
              </w:rPr>
              <w:t xml:space="preserve">春江花园三期电梯号</w:t>
            </w:r>
            <w:r>
              <w:rPr>
                <w:rFonts w:hint="eastAsia" w:ascii="宋体" w:hAnsi="宋体" w:cs="宋体"/>
                <w:sz w:val="18"/>
                <w:szCs w:val="18"/>
              </w:rPr>
              <w:t xml:space="preserve">③</w:t>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sz w:val="22"/>
                <w:szCs w:val="22"/>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sz w:val="22"/>
                <w:szCs w:val="22"/>
                <w:lang w:bidi="ar"/>
              </w:rPr>
              <w:t xml:space="preserve">参数详见下表</w:t>
            </w:r>
            <w:r/>
          </w:p>
        </w:tc>
      </w:tr>
      <w:tr>
        <w:trPr>
          <w:trHeight w:val="454"/>
        </w:trPr>
        <w:tc>
          <w:tcPr>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4</w:t>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widowControl/>
              <w:rPr>
                <w:rFonts w:hint="eastAsia" w:ascii="宋体" w:hAnsi="宋体" w:cs="宋体"/>
                <w:color w:val="000000"/>
              </w:rPr>
            </w:pPr>
            <w:r>
              <w:rPr>
                <w:rFonts w:hint="eastAsia" w:ascii="宋体" w:hAnsi="宋体"/>
                <w:sz w:val="18"/>
                <w:szCs w:val="18"/>
              </w:rPr>
              <w:t xml:space="preserve">春江花园三期电梯号</w:t>
            </w:r>
            <w:r>
              <w:rPr>
                <w:rFonts w:hint="eastAsia" w:ascii="宋体" w:hAnsi="宋体" w:cs="宋体"/>
                <w:sz w:val="18"/>
                <w:szCs w:val="18"/>
              </w:rPr>
              <w:t xml:space="preserve">④</w:t>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sz w:val="22"/>
                <w:szCs w:val="22"/>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sz w:val="22"/>
                <w:szCs w:val="22"/>
                <w:lang w:bidi="ar"/>
              </w:rPr>
              <w:t xml:space="preserve">参数详见下表</w:t>
            </w:r>
            <w:r/>
          </w:p>
        </w:tc>
      </w:tr>
      <w:tr>
        <w:trPr>
          <w:trHeight w:val="454"/>
        </w:trPr>
        <w:tc>
          <w:tcPr>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5</w:t>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widowControl/>
              <w:rPr>
                <w:rFonts w:hint="eastAsia" w:ascii="宋体" w:hAnsi="宋体" w:cs="宋体"/>
                <w:color w:val="000000"/>
              </w:rPr>
            </w:pPr>
            <w:r>
              <w:rPr>
                <w:rFonts w:hint="eastAsia" w:ascii="宋体" w:hAnsi="宋体"/>
                <w:sz w:val="18"/>
                <w:szCs w:val="18"/>
              </w:rPr>
              <w:t xml:space="preserve">柏木南苑电梯号</w:t>
            </w:r>
            <w:r>
              <w:rPr>
                <w:rFonts w:hint="eastAsia" w:ascii="宋体" w:hAnsi="宋体" w:cs="宋体"/>
                <w:sz w:val="18"/>
                <w:szCs w:val="18"/>
              </w:rPr>
              <w:t xml:space="preserve">①</w:t>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sz w:val="22"/>
                <w:szCs w:val="22"/>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sz w:val="22"/>
                <w:szCs w:val="22"/>
                <w:lang w:bidi="ar"/>
              </w:rPr>
              <w:t xml:space="preserve">参数详见下表</w:t>
            </w:r>
            <w:r/>
          </w:p>
        </w:tc>
      </w:tr>
      <w:tr>
        <w:trPr>
          <w:trHeight w:val="454"/>
        </w:trPr>
        <w:tc>
          <w:tcPr>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6</w:t>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widowControl/>
              <w:rPr>
                <w:rFonts w:hint="eastAsia" w:ascii="宋体" w:hAnsi="宋体" w:cs="宋体"/>
                <w:color w:val="000000"/>
              </w:rPr>
            </w:pPr>
            <w:r>
              <w:rPr>
                <w:rFonts w:hint="eastAsia" w:ascii="宋体" w:hAnsi="宋体"/>
                <w:sz w:val="18"/>
                <w:szCs w:val="18"/>
              </w:rPr>
              <w:t xml:space="preserve">柏木南苑电梯号</w:t>
            </w:r>
            <w:r>
              <w:rPr>
                <w:rFonts w:hint="eastAsia" w:ascii="宋体" w:hAnsi="宋体" w:cs="宋体"/>
                <w:sz w:val="18"/>
                <w:szCs w:val="18"/>
              </w:rPr>
              <w:t xml:space="preserve">②</w:t>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sz w:val="22"/>
                <w:szCs w:val="22"/>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sz w:val="22"/>
                <w:szCs w:val="22"/>
                <w:lang w:bidi="ar"/>
              </w:rPr>
              <w:t xml:space="preserve">参数详见下表</w:t>
            </w:r>
            <w:r/>
          </w:p>
        </w:tc>
      </w:tr>
      <w:tr>
        <w:trPr>
          <w:trHeight w:val="454"/>
        </w:trPr>
        <w:tc>
          <w:tcPr>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7</w:t>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widowControl/>
              <w:rPr>
                <w:rFonts w:hint="eastAsia" w:ascii="宋体" w:hAnsi="宋体" w:cs="宋体"/>
                <w:color w:val="000000"/>
              </w:rPr>
            </w:pPr>
            <w:r>
              <w:rPr>
                <w:rFonts w:hint="eastAsia" w:ascii="宋体" w:hAnsi="宋体"/>
                <w:sz w:val="18"/>
                <w:szCs w:val="18"/>
              </w:rPr>
              <w:t xml:space="preserve">金锡苑(北区)电梯号</w:t>
            </w:r>
            <w:r>
              <w:rPr>
                <w:rFonts w:hint="eastAsia" w:ascii="宋体" w:hAnsi="宋体" w:cs="宋体"/>
                <w:sz w:val="18"/>
                <w:szCs w:val="18"/>
              </w:rPr>
              <w:t xml:space="preserve">①</w:t>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sz w:val="22"/>
                <w:szCs w:val="22"/>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sz w:val="22"/>
                <w:szCs w:val="22"/>
                <w:lang w:bidi="ar"/>
              </w:rPr>
              <w:t xml:space="preserve">参数详见下表</w:t>
            </w:r>
            <w:r/>
          </w:p>
        </w:tc>
      </w:tr>
    </w:tbl>
    <w:p>
      <w:pPr>
        <w:pStyle w:val="1037"/>
        <w:ind w:firstLine="482"/>
        <w:rPr>
          <w:lang w:eastAsia="zh-CN"/>
        </w:rPr>
      </w:pPr>
      <w:r>
        <w:rPr>
          <w:rFonts w:hint="eastAsia" w:ascii="宋体" w:hAnsi="宋体" w:eastAsia="宋体" w:cs="宋体"/>
          <w:b/>
          <w:sz w:val="24"/>
          <w:szCs w:val="22"/>
          <w:lang w:eastAsia="zh-CN"/>
        </w:rPr>
        <w:t xml:space="preserve">注：本项目为货物采购项目，其中货物采购标的及对应的中小企业划分标准所属行业如上表。</w:t>
      </w:r>
      <w:r/>
    </w:p>
    <w:p>
      <w:pPr>
        <w:ind w:firstLine="480"/>
        <w:spacing w:line="360" w:lineRule="auto"/>
        <w:rPr>
          <w:rFonts w:hint="eastAsia" w:ascii="宋体" w:hAnsi="宋体"/>
          <w:b/>
          <w:sz w:val="24"/>
          <w:szCs w:val="24"/>
        </w:rPr>
      </w:pPr>
      <w:r>
        <w:rPr>
          <w:rFonts w:hint="eastAsia" w:ascii="宋体" w:hAnsi="宋体"/>
          <w:b/>
          <w:sz w:val="24"/>
          <w:szCs w:val="24"/>
        </w:rPr>
      </w:r>
      <w:r/>
    </w:p>
    <w:p>
      <w:pPr>
        <w:numPr>
          <w:ilvl w:val="255"/>
          <w:numId w:val="0"/>
        </w:numPr>
        <w:ind w:firstLine="480"/>
        <w:spacing w:line="360" w:lineRule="auto"/>
        <w:rPr>
          <w:rFonts w:hint="eastAsia" w:ascii="宋体" w:hAnsi="宋体" w:cs="宋体"/>
          <w:b/>
          <w:bCs/>
          <w:spacing w:val="-1"/>
          <w:sz w:val="24"/>
          <w:szCs w:val="24"/>
        </w:rPr>
      </w:pPr>
      <w:r>
        <w:rPr>
          <w:rFonts w:hint="eastAsia" w:ascii="宋体" w:hAnsi="宋体"/>
          <w:b/>
          <w:sz w:val="24"/>
          <w:szCs w:val="24"/>
        </w:rPr>
        <w:t xml:space="preserve">二、 </w:t>
      </w:r>
      <w:bookmarkEnd w:id="24"/>
      <w:r>
        <w:rPr>
          <w:rFonts w:hint="eastAsia" w:ascii="宋体" w:hAnsi="宋体"/>
          <w:b/>
          <w:sz w:val="24"/>
          <w:szCs w:val="24"/>
        </w:rPr>
        <w:t xml:space="preserve">技术部分</w:t>
      </w:r>
      <w:r>
        <w:rPr>
          <w:rFonts w:hint="eastAsia" w:ascii="宋体" w:hAnsi="宋体" w:cs="宋体"/>
          <w:b/>
          <w:bCs/>
          <w:spacing w:val="-1"/>
          <w:sz w:val="24"/>
          <w:szCs w:val="24"/>
        </w:rPr>
        <w:t xml:space="preserve">技术规格参数表</w:t>
      </w:r>
      <w:r/>
    </w:p>
    <w:tbl>
      <w:tblPr>
        <w:tblStyle w:val="1060"/>
        <w:tblW w:w="87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302"/>
        <w:gridCol w:w="945"/>
        <w:gridCol w:w="4611"/>
        <w:gridCol w:w="1089"/>
      </w:tblGrid>
      <w:tr>
        <w:trPr>
          <w:jc w:val="center"/>
          <w:trHeight w:val="487"/>
        </w:trPr>
        <w:tc>
          <w:tcPr>
            <w:tcW w:w="776" w:type="dxa"/>
            <w:vAlign w:val="center"/>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序号</w:t>
            </w:r>
            <w:r/>
          </w:p>
        </w:tc>
        <w:tc>
          <w:tcPr>
            <w:tcW w:w="1302" w:type="dxa"/>
            <w:vAlign w:val="center"/>
            <w:textDirection w:val="lrTb"/>
            <w:noWrap w:val="false"/>
          </w:tcPr>
          <w:p>
            <w:pPr>
              <w:jc w:val="center"/>
              <w:spacing w:line="360" w:lineRule="auto"/>
              <w:rPr>
                <w:rFonts w:hint="eastAsia" w:ascii="宋体" w:hAnsi="宋体"/>
                <w:sz w:val="18"/>
                <w:szCs w:val="18"/>
              </w:rPr>
            </w:pPr>
            <w:r>
              <w:rPr>
                <w:rFonts w:hint="eastAsia" w:ascii="宋体" w:hAnsi="宋体"/>
                <w:sz w:val="18"/>
                <w:szCs w:val="18"/>
              </w:rPr>
              <w:t xml:space="preserve">电梯号</w:t>
            </w:r>
            <w:r/>
          </w:p>
        </w:tc>
        <w:tc>
          <w:tcPr>
            <w:tcW w:w="945" w:type="dxa"/>
            <w:vAlign w:val="center"/>
            <w:textDirection w:val="lrTb"/>
            <w:noWrap w:val="false"/>
          </w:tcPr>
          <w:p>
            <w:pPr>
              <w:jc w:val="center"/>
              <w:spacing w:line="360" w:lineRule="auto"/>
              <w:rPr>
                <w:rFonts w:hint="eastAsia" w:ascii="宋体" w:hAnsi="宋体"/>
                <w:sz w:val="18"/>
                <w:szCs w:val="18"/>
              </w:rPr>
            </w:pPr>
            <w:r>
              <w:rPr>
                <w:rFonts w:hint="eastAsia" w:ascii="宋体" w:hAnsi="宋体"/>
                <w:sz w:val="18"/>
                <w:szCs w:val="18"/>
              </w:rPr>
              <w:t xml:space="preserve">电梯台数</w:t>
            </w:r>
            <w:r/>
          </w:p>
        </w:tc>
        <w:tc>
          <w:tcPr>
            <w:tcW w:w="4611" w:type="dxa"/>
            <w:vAlign w:val="center"/>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参数</w:t>
            </w:r>
            <w:r/>
          </w:p>
        </w:tc>
        <w:tc>
          <w:tcPr>
            <w:tcW w:w="1089" w:type="dxa"/>
            <w:vAlign w:val="center"/>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备注</w:t>
            </w:r>
            <w:r/>
          </w:p>
        </w:tc>
      </w:tr>
      <w:tr>
        <w:trPr>
          <w:jc w:val="center"/>
          <w:trHeight w:val="270"/>
        </w:trPr>
        <w:tc>
          <w:tcPr>
            <w:tcW w:w="776" w:type="dxa"/>
            <w:vAlign w:val="center"/>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1</w:t>
            </w:r>
            <w:r/>
          </w:p>
        </w:tc>
        <w:tc>
          <w:tcPr>
            <w:tcW w:w="1302" w:type="dxa"/>
            <w:vAlign w:val="center"/>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春江花园三期电梯号</w:t>
            </w:r>
            <w:r>
              <w:rPr>
                <w:rFonts w:hint="eastAsia" w:ascii="宋体" w:hAnsi="宋体" w:cs="宋体"/>
                <w:sz w:val="18"/>
                <w:szCs w:val="18"/>
              </w:rPr>
              <w:t xml:space="preserve">①</w:t>
            </w:r>
            <w:r/>
          </w:p>
        </w:tc>
        <w:tc>
          <w:tcPr>
            <w:tcW w:w="945" w:type="dxa"/>
            <w:vAlign w:val="center"/>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6</w:t>
            </w:r>
            <w:r/>
          </w:p>
        </w:tc>
        <w:tc>
          <w:tcPr>
            <w:tcW w:w="4611" w:type="dxa"/>
            <w:vAlign w:val="center"/>
            <w:textDirection w:val="lrTb"/>
            <w:noWrap/>
          </w:tcPr>
          <w:p>
            <w:pPr>
              <w:numPr>
                <w:ilvl w:val="255"/>
                <w:numId w:val="0"/>
              </w:numPr>
              <w:spacing w:line="360" w:lineRule="auto"/>
              <w:rPr>
                <w:rFonts w:hint="eastAsia" w:ascii="宋体" w:hAnsi="宋体"/>
                <w:sz w:val="18"/>
                <w:szCs w:val="18"/>
              </w:rPr>
            </w:pPr>
            <w:r>
              <w:rPr>
                <w:rFonts w:hint="eastAsia" w:ascii="宋体" w:hAnsi="宋体"/>
                <w:sz w:val="18"/>
                <w:szCs w:val="18"/>
              </w:rPr>
              <w:t xml:space="preserve">1.楼层：15/15/15；</w:t>
            </w:r>
            <w:r/>
          </w:p>
          <w:p>
            <w:pPr>
              <w:numPr>
                <w:ilvl w:val="255"/>
                <w:numId w:val="0"/>
              </w:numPr>
              <w:spacing w:line="360" w:lineRule="auto"/>
              <w:rPr>
                <w:rFonts w:hint="eastAsia" w:ascii="宋体" w:hAnsi="宋体"/>
                <w:sz w:val="18"/>
                <w:szCs w:val="18"/>
              </w:rPr>
            </w:pPr>
            <w:r>
              <w:rPr>
                <w:rFonts w:hint="eastAsia" w:ascii="宋体" w:hAnsi="宋体"/>
                <w:sz w:val="18"/>
                <w:szCs w:val="18"/>
              </w:rPr>
              <w:t xml:space="preserve">2.电梯停层：-1-14；</w:t>
            </w:r>
            <w:r/>
          </w:p>
          <w:p>
            <w:pPr>
              <w:numPr>
                <w:ilvl w:val="255"/>
                <w:numId w:val="0"/>
              </w:numPr>
              <w:spacing w:line="360" w:lineRule="auto"/>
              <w:rPr>
                <w:rFonts w:hint="eastAsia" w:ascii="宋体" w:hAnsi="宋体"/>
                <w:sz w:val="18"/>
                <w:szCs w:val="18"/>
              </w:rPr>
            </w:pPr>
            <w:r>
              <w:rPr>
                <w:rFonts w:hint="eastAsia" w:ascii="宋体" w:hAnsi="宋体"/>
                <w:sz w:val="18"/>
                <w:szCs w:val="18"/>
              </w:rPr>
              <w:t xml:space="preserve">3.额度载重：≥800kg；</w:t>
            </w:r>
            <w:r/>
          </w:p>
          <w:p>
            <w:pPr>
              <w:spacing w:line="360" w:lineRule="auto"/>
              <w:rPr>
                <w:rFonts w:hint="eastAsia" w:ascii="宋体" w:hAnsi="宋体"/>
                <w:sz w:val="18"/>
                <w:szCs w:val="18"/>
              </w:rPr>
            </w:pPr>
            <w:r>
              <w:rPr>
                <w:rFonts w:hint="eastAsia" w:ascii="宋体" w:hAnsi="宋体"/>
                <w:sz w:val="18"/>
                <w:szCs w:val="18"/>
              </w:rPr>
              <w:t xml:space="preserve">4.额定速度：≥1.6m/s；</w:t>
            </w:r>
            <w:r/>
          </w:p>
          <w:p>
            <w:pPr>
              <w:spacing w:line="360" w:lineRule="auto"/>
              <w:rPr>
                <w:rFonts w:hint="eastAsia" w:ascii="宋体" w:hAnsi="宋体"/>
                <w:sz w:val="18"/>
                <w:szCs w:val="18"/>
              </w:rPr>
            </w:pPr>
            <w:r>
              <w:rPr>
                <w:rFonts w:hint="eastAsia" w:ascii="宋体" w:hAnsi="宋体"/>
                <w:sz w:val="18"/>
                <w:szCs w:val="18"/>
              </w:rPr>
              <w:t xml:space="preserve">5.井道尺寸（mm）：2000×2000；</w:t>
            </w:r>
            <w:r/>
          </w:p>
          <w:p>
            <w:pPr>
              <w:spacing w:line="360" w:lineRule="auto"/>
              <w:rPr>
                <w:rFonts w:hint="eastAsia" w:ascii="宋体" w:hAnsi="宋体"/>
                <w:sz w:val="18"/>
                <w:szCs w:val="18"/>
              </w:rPr>
            </w:pPr>
            <w:r>
              <w:rPr>
                <w:rFonts w:hint="eastAsia" w:ascii="宋体" w:hAnsi="宋体"/>
                <w:sz w:val="18"/>
                <w:szCs w:val="18"/>
              </w:rPr>
              <w:t xml:space="preserve">6.并联；</w:t>
            </w:r>
            <w:r/>
          </w:p>
          <w:p>
            <w:pPr>
              <w:spacing w:line="360" w:lineRule="auto"/>
              <w:rPr>
                <w:rFonts w:hint="eastAsia" w:ascii="宋体" w:hAnsi="宋体"/>
                <w:sz w:val="18"/>
                <w:szCs w:val="18"/>
              </w:rPr>
            </w:pPr>
            <w:r>
              <w:rPr>
                <w:rFonts w:hint="eastAsia" w:ascii="宋体" w:hAnsi="宋体"/>
                <w:sz w:val="18"/>
                <w:szCs w:val="18"/>
              </w:rPr>
              <w:t xml:space="preserve">7.电梯位置：302单元1号梯、2号梯，303单元1号梯、2号梯，306单元1号梯、2号梯。</w:t>
            </w:r>
            <w:r/>
          </w:p>
          <w:p>
            <w:pPr>
              <w:spacing w:line="360" w:lineRule="auto"/>
              <w:rPr>
                <w:rFonts w:hint="eastAsia" w:ascii="宋体" w:hAnsi="宋体"/>
                <w:sz w:val="18"/>
                <w:szCs w:val="18"/>
              </w:rPr>
            </w:pPr>
            <w:r>
              <w:rPr>
                <w:rFonts w:hint="eastAsia" w:ascii="宋体" w:hAnsi="宋体"/>
                <w:sz w:val="18"/>
                <w:szCs w:val="18"/>
              </w:rPr>
              <w:t xml:space="preserve">8.曳引机：曳引机制动器的动作次数（使用寿命）≥800万次；曳引机绕组温升≤100K；曳引机绝缘等级为F；电磁线局部放电性能满足：放电电荷阈值100pc时，放电起始电压≥500V。</w:t>
            </w:r>
            <w:r/>
          </w:p>
          <w:p>
            <w:pPr>
              <w:spacing w:line="360" w:lineRule="auto"/>
              <w:rPr>
                <w:rFonts w:hint="eastAsia" w:ascii="宋体" w:hAnsi="宋体"/>
                <w:sz w:val="18"/>
                <w:szCs w:val="18"/>
              </w:rPr>
            </w:pPr>
            <w:r>
              <w:rPr>
                <w:rFonts w:hint="eastAsia" w:ascii="宋体" w:hAnsi="宋体"/>
                <w:sz w:val="18"/>
                <w:szCs w:val="18"/>
              </w:rPr>
              <w:t xml:space="preserve">9.控制柜：雷击浪涌干扰电压≥15KV；控制柜的控制芯片采用 32 位微机或以上且满足电压（380V±10%）。</w:t>
            </w:r>
            <w:r/>
          </w:p>
          <w:p>
            <w:pPr>
              <w:spacing w:line="360" w:lineRule="auto"/>
              <w:rPr>
                <w:rFonts w:hint="eastAsia" w:ascii="宋体" w:hAnsi="宋体"/>
                <w:sz w:val="18"/>
                <w:szCs w:val="18"/>
              </w:rPr>
            </w:pPr>
            <w:r>
              <w:rPr>
                <w:rFonts w:hint="eastAsia" w:ascii="宋体" w:hAnsi="宋体"/>
                <w:sz w:val="18"/>
                <w:szCs w:val="18"/>
              </w:rPr>
              <w:t xml:space="preserve">10.升降梯门保护装置：电梯光幕为原厂原品牌。IP防护等级≥IP54，探测距离0~2m，响应时间≤100ms，扫描光束≥154束。</w:t>
            </w:r>
            <w:r/>
          </w:p>
          <w:p>
            <w:pPr>
              <w:spacing w:line="360" w:lineRule="auto"/>
              <w:rPr>
                <w:rFonts w:hint="eastAsia" w:ascii="宋体" w:hAnsi="宋体"/>
                <w:sz w:val="18"/>
                <w:szCs w:val="18"/>
              </w:rPr>
            </w:pPr>
            <w:r>
              <w:rPr>
                <w:rFonts w:hint="eastAsia" w:ascii="宋体" w:hAnsi="宋体"/>
                <w:sz w:val="18"/>
                <w:szCs w:val="18"/>
              </w:rPr>
              <w:t xml:space="preserve">11.门系统：永磁同步门系统运行寿命不低于500万次，外壳防护等级≥IP43。</w:t>
            </w:r>
            <w:r/>
          </w:p>
        </w:tc>
        <w:tc>
          <w:tcPr>
            <w:tcW w:w="1089" w:type="dxa"/>
            <w:vAlign w:val="center"/>
            <w:textDirection w:val="lrTb"/>
            <w:noWrap/>
          </w:tcPr>
          <w:p>
            <w:pPr>
              <w:spacing w:line="360" w:lineRule="auto"/>
              <w:rPr>
                <w:rFonts w:hint="eastAsia" w:ascii="宋体" w:hAnsi="宋体"/>
                <w:sz w:val="18"/>
                <w:szCs w:val="18"/>
              </w:rPr>
            </w:pPr>
            <w:r>
              <w:rPr>
                <w:rFonts w:hint="eastAsia" w:ascii="宋体" w:hAnsi="宋体"/>
                <w:sz w:val="18"/>
                <w:szCs w:val="18"/>
              </w:rPr>
            </w:r>
            <w:r/>
          </w:p>
        </w:tc>
      </w:tr>
      <w:tr>
        <w:trPr>
          <w:jc w:val="center"/>
          <w:trHeight w:val="2728"/>
        </w:trPr>
        <w:tc>
          <w:tcPr>
            <w:tcW w:w="776" w:type="dxa"/>
            <w:vAlign w:val="center"/>
            <w:textDirection w:val="lrTb"/>
            <w:noWrap w:val="false"/>
          </w:tcPr>
          <w:p>
            <w:pPr>
              <w:jc w:val="center"/>
              <w:spacing w:line="360" w:lineRule="auto"/>
              <w:rPr>
                <w:rFonts w:hint="eastAsia" w:ascii="宋体" w:hAnsi="宋体"/>
                <w:sz w:val="18"/>
                <w:szCs w:val="18"/>
              </w:rPr>
            </w:pPr>
            <w:r>
              <w:rPr>
                <w:rFonts w:hint="eastAsia" w:ascii="宋体" w:hAnsi="宋体"/>
                <w:sz w:val="18"/>
                <w:szCs w:val="18"/>
              </w:rPr>
              <w:t xml:space="preserve">2</w:t>
            </w:r>
            <w:r/>
          </w:p>
        </w:tc>
        <w:tc>
          <w:tcPr>
            <w:tcW w:w="1302" w:type="dxa"/>
            <w:vAlign w:val="center"/>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春江花园三期电梯号</w:t>
            </w:r>
            <w:r>
              <w:rPr>
                <w:rFonts w:hint="eastAsia" w:ascii="宋体" w:hAnsi="宋体" w:cs="宋体"/>
                <w:sz w:val="18"/>
                <w:szCs w:val="18"/>
              </w:rPr>
              <w:t xml:space="preserve">②</w:t>
            </w:r>
            <w:r/>
          </w:p>
        </w:tc>
        <w:tc>
          <w:tcPr>
            <w:tcW w:w="945" w:type="dxa"/>
            <w:vAlign w:val="center"/>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4</w:t>
            </w:r>
            <w:r/>
          </w:p>
        </w:tc>
        <w:tc>
          <w:tcPr>
            <w:tcW w:w="4611" w:type="dxa"/>
            <w:vAlign w:val="center"/>
            <w:textDirection w:val="lrTb"/>
            <w:noWrap/>
          </w:tcPr>
          <w:p>
            <w:pPr>
              <w:numPr>
                <w:ilvl w:val="255"/>
                <w:numId w:val="0"/>
              </w:numPr>
              <w:jc w:val="left"/>
              <w:spacing w:line="360" w:lineRule="auto"/>
              <w:tabs>
                <w:tab w:val="left" w:pos="290" w:leader="none"/>
              </w:tabs>
              <w:rPr>
                <w:rFonts w:hint="eastAsia" w:ascii="宋体" w:hAnsi="宋体"/>
                <w:sz w:val="18"/>
                <w:szCs w:val="18"/>
              </w:rPr>
            </w:pPr>
            <w:r>
              <w:rPr>
                <w:rFonts w:hint="eastAsia" w:ascii="宋体" w:hAnsi="宋体"/>
                <w:sz w:val="18"/>
                <w:szCs w:val="18"/>
              </w:rPr>
              <w:t xml:space="preserve">1.楼层：18/18/18；</w:t>
            </w:r>
            <w:r/>
          </w:p>
          <w:p>
            <w:pPr>
              <w:numPr>
                <w:ilvl w:val="255"/>
                <w:numId w:val="0"/>
              </w:numPr>
              <w:jc w:val="left"/>
              <w:spacing w:line="360" w:lineRule="auto"/>
              <w:tabs>
                <w:tab w:val="left" w:pos="290" w:leader="none"/>
              </w:tabs>
              <w:rPr>
                <w:rFonts w:hint="eastAsia" w:ascii="宋体" w:hAnsi="宋体"/>
                <w:sz w:val="18"/>
                <w:szCs w:val="18"/>
              </w:rPr>
            </w:pPr>
            <w:r>
              <w:rPr>
                <w:rFonts w:hint="eastAsia" w:ascii="宋体" w:hAnsi="宋体"/>
                <w:sz w:val="18"/>
                <w:szCs w:val="18"/>
              </w:rPr>
              <w:t xml:space="preserve">2.电梯停层：-1-17；</w:t>
            </w:r>
            <w:r/>
          </w:p>
          <w:p>
            <w:pPr>
              <w:numPr>
                <w:ilvl w:val="255"/>
                <w:numId w:val="0"/>
              </w:numPr>
              <w:jc w:val="left"/>
              <w:spacing w:line="360" w:lineRule="auto"/>
              <w:tabs>
                <w:tab w:val="left" w:pos="290" w:leader="none"/>
              </w:tabs>
              <w:rPr>
                <w:rFonts w:hint="eastAsia" w:ascii="宋体" w:hAnsi="宋体"/>
                <w:sz w:val="18"/>
                <w:szCs w:val="18"/>
              </w:rPr>
            </w:pPr>
            <w:r>
              <w:rPr>
                <w:rFonts w:hint="eastAsia" w:ascii="宋体" w:hAnsi="宋体"/>
                <w:sz w:val="18"/>
                <w:szCs w:val="18"/>
              </w:rPr>
              <w:t xml:space="preserve">3.额度载重：≥800kg；</w:t>
            </w:r>
            <w:r/>
          </w:p>
          <w:p>
            <w:pPr>
              <w:jc w:val="left"/>
              <w:spacing w:line="360" w:lineRule="auto"/>
              <w:tabs>
                <w:tab w:val="left" w:pos="290" w:leader="none"/>
              </w:tabs>
              <w:rPr>
                <w:rFonts w:hint="eastAsia" w:ascii="宋体" w:hAnsi="宋体"/>
                <w:sz w:val="18"/>
                <w:szCs w:val="18"/>
              </w:rPr>
            </w:pPr>
            <w:r>
              <w:rPr>
                <w:rFonts w:hint="eastAsia" w:ascii="宋体" w:hAnsi="宋体"/>
                <w:sz w:val="18"/>
                <w:szCs w:val="18"/>
              </w:rPr>
              <w:t xml:space="preserve">4.额定速度：≥1.6m/s；</w:t>
            </w:r>
            <w:r/>
          </w:p>
          <w:p>
            <w:pPr>
              <w:jc w:val="left"/>
              <w:spacing w:line="360" w:lineRule="auto"/>
              <w:tabs>
                <w:tab w:val="left" w:pos="290" w:leader="none"/>
              </w:tabs>
              <w:rPr>
                <w:rFonts w:hint="eastAsia" w:ascii="宋体" w:hAnsi="宋体"/>
                <w:sz w:val="18"/>
                <w:szCs w:val="18"/>
              </w:rPr>
            </w:pPr>
            <w:r>
              <w:rPr>
                <w:rFonts w:hint="eastAsia" w:ascii="宋体" w:hAnsi="宋体"/>
                <w:sz w:val="18"/>
                <w:szCs w:val="18"/>
              </w:rPr>
              <w:t xml:space="preserve">5.井道尺寸（mm）：2000×2000；</w:t>
            </w:r>
            <w:r/>
          </w:p>
          <w:p>
            <w:pPr>
              <w:jc w:val="left"/>
              <w:spacing w:line="360" w:lineRule="auto"/>
              <w:tabs>
                <w:tab w:val="left" w:pos="290" w:leader="none"/>
              </w:tabs>
              <w:rPr>
                <w:rFonts w:hint="eastAsia" w:ascii="宋体" w:hAnsi="宋体"/>
                <w:sz w:val="18"/>
                <w:szCs w:val="18"/>
              </w:rPr>
            </w:pPr>
            <w:r>
              <w:rPr>
                <w:rFonts w:hint="eastAsia" w:ascii="宋体" w:hAnsi="宋体"/>
                <w:sz w:val="18"/>
                <w:szCs w:val="18"/>
              </w:rPr>
              <w:t xml:space="preserve">6.并联；</w:t>
            </w:r>
            <w:r/>
          </w:p>
          <w:p>
            <w:pPr>
              <w:jc w:val="left"/>
              <w:spacing w:line="360" w:lineRule="auto"/>
              <w:tabs>
                <w:tab w:val="left" w:pos="290" w:leader="none"/>
              </w:tabs>
              <w:rPr>
                <w:rFonts w:hint="eastAsia" w:ascii="宋体" w:hAnsi="宋体"/>
                <w:sz w:val="18"/>
                <w:szCs w:val="18"/>
              </w:rPr>
            </w:pPr>
            <w:r>
              <w:rPr>
                <w:rFonts w:hint="eastAsia" w:ascii="宋体" w:hAnsi="宋体"/>
                <w:sz w:val="18"/>
                <w:szCs w:val="18"/>
              </w:rPr>
              <w:t xml:space="preserve">7.电梯位置：304单元1号梯、2号梯，305单元1号梯、2号梯。</w:t>
            </w:r>
            <w:r/>
          </w:p>
          <w:p>
            <w:pPr>
              <w:jc w:val="left"/>
              <w:spacing w:line="360" w:lineRule="auto"/>
              <w:tabs>
                <w:tab w:val="left" w:pos="290" w:leader="none"/>
              </w:tabs>
              <w:rPr>
                <w:rFonts w:hint="eastAsia" w:ascii="宋体" w:hAnsi="宋体"/>
                <w:sz w:val="18"/>
                <w:szCs w:val="18"/>
              </w:rPr>
            </w:pPr>
            <w:r>
              <w:rPr>
                <w:rFonts w:hint="eastAsia" w:ascii="宋体" w:hAnsi="宋体"/>
                <w:sz w:val="18"/>
                <w:szCs w:val="18"/>
              </w:rPr>
              <w:t xml:space="preserve">8.曳引机：曳引机制动器的动作次数（使用寿命）≥800万次；曳引机绕组温升≤100K；曳引机绝缘等级为F；电磁线局部放电性能满足：放电电荷阈值100pc时，放电起始电压≥500V。</w:t>
            </w:r>
            <w:r/>
          </w:p>
          <w:p>
            <w:pPr>
              <w:jc w:val="left"/>
              <w:spacing w:line="360" w:lineRule="auto"/>
              <w:tabs>
                <w:tab w:val="left" w:pos="290" w:leader="none"/>
              </w:tabs>
              <w:rPr>
                <w:rFonts w:hint="eastAsia" w:ascii="宋体" w:hAnsi="宋体"/>
                <w:sz w:val="18"/>
                <w:szCs w:val="18"/>
              </w:rPr>
            </w:pPr>
            <w:r>
              <w:rPr>
                <w:rFonts w:hint="eastAsia" w:ascii="宋体" w:hAnsi="宋体"/>
                <w:sz w:val="18"/>
                <w:szCs w:val="18"/>
              </w:rPr>
              <w:t xml:space="preserve">9.控制柜：雷击浪涌干扰电压≥15KV；控制柜的控制芯片采用 32 位微机或以上且满足电压（380V±10%）。</w:t>
            </w:r>
            <w:r/>
          </w:p>
          <w:p>
            <w:pPr>
              <w:jc w:val="left"/>
              <w:spacing w:line="360" w:lineRule="auto"/>
              <w:tabs>
                <w:tab w:val="left" w:pos="290" w:leader="none"/>
              </w:tabs>
              <w:rPr>
                <w:rFonts w:hint="eastAsia" w:ascii="宋体" w:hAnsi="宋体"/>
                <w:sz w:val="18"/>
                <w:szCs w:val="18"/>
              </w:rPr>
            </w:pPr>
            <w:r>
              <w:rPr>
                <w:rFonts w:hint="eastAsia" w:ascii="宋体" w:hAnsi="宋体"/>
                <w:sz w:val="18"/>
                <w:szCs w:val="18"/>
              </w:rPr>
              <w:t xml:space="preserve">10.升降梯门保护装置：电梯光幕为原厂原品牌。IP防护等级≥IP54，探测距离0~2m，响应时间≤100ms，扫描光束≥154束。</w:t>
            </w:r>
            <w:r/>
          </w:p>
          <w:p>
            <w:pPr>
              <w:jc w:val="left"/>
              <w:spacing w:line="360" w:lineRule="auto"/>
              <w:tabs>
                <w:tab w:val="left" w:pos="290" w:leader="none"/>
              </w:tabs>
              <w:rPr>
                <w:rFonts w:hint="eastAsia" w:ascii="宋体" w:hAnsi="宋体"/>
                <w:sz w:val="18"/>
                <w:szCs w:val="18"/>
              </w:rPr>
            </w:pPr>
            <w:r>
              <w:rPr>
                <w:rFonts w:hint="eastAsia" w:ascii="宋体" w:hAnsi="宋体"/>
                <w:sz w:val="18"/>
                <w:szCs w:val="18"/>
              </w:rPr>
              <w:t xml:space="preserve">11.门系统：永磁同步门系统运行寿命不低于500万次，外壳防护等级≥IP43。</w:t>
            </w:r>
            <w:r/>
          </w:p>
        </w:tc>
        <w:tc>
          <w:tcPr>
            <w:tcW w:w="1089" w:type="dxa"/>
            <w:vAlign w:val="center"/>
            <w:textDirection w:val="lrTb"/>
            <w:noWrap/>
          </w:tcPr>
          <w:p>
            <w:pPr>
              <w:jc w:val="left"/>
              <w:spacing w:line="360" w:lineRule="auto"/>
              <w:tabs>
                <w:tab w:val="left" w:pos="290" w:leader="none"/>
              </w:tabs>
              <w:rPr>
                <w:rFonts w:hint="eastAsia" w:ascii="宋体" w:hAnsi="宋体"/>
                <w:sz w:val="18"/>
                <w:szCs w:val="18"/>
              </w:rPr>
            </w:pPr>
            <w:r>
              <w:rPr>
                <w:rFonts w:hint="eastAsia" w:ascii="宋体" w:hAnsi="宋体"/>
                <w:sz w:val="18"/>
                <w:szCs w:val="18"/>
              </w:rPr>
            </w:r>
            <w:r/>
          </w:p>
        </w:tc>
      </w:tr>
      <w:tr>
        <w:trPr>
          <w:jc w:val="center"/>
          <w:trHeight w:val="270"/>
        </w:trPr>
        <w:tc>
          <w:tcPr>
            <w:tcW w:w="776" w:type="dxa"/>
            <w:vAlign w:val="center"/>
            <w:textDirection w:val="lrTb"/>
            <w:noWrap w:val="false"/>
          </w:tcPr>
          <w:p>
            <w:pPr>
              <w:jc w:val="center"/>
              <w:spacing w:line="360" w:lineRule="auto"/>
              <w:rPr>
                <w:rFonts w:hint="eastAsia" w:ascii="宋体" w:hAnsi="宋体"/>
                <w:sz w:val="18"/>
                <w:szCs w:val="18"/>
              </w:rPr>
            </w:pPr>
            <w:r>
              <w:rPr>
                <w:rFonts w:hint="eastAsia" w:ascii="宋体" w:hAnsi="宋体"/>
                <w:sz w:val="18"/>
                <w:szCs w:val="18"/>
              </w:rPr>
              <w:t xml:space="preserve">3</w:t>
            </w:r>
            <w:r/>
          </w:p>
        </w:tc>
        <w:tc>
          <w:tcPr>
            <w:tcW w:w="1302" w:type="dxa"/>
            <w:vAlign w:val="center"/>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春江花园三期电梯号</w:t>
            </w:r>
            <w:r>
              <w:rPr>
                <w:rFonts w:hint="eastAsia" w:ascii="宋体" w:hAnsi="宋体" w:cs="宋体"/>
                <w:sz w:val="18"/>
                <w:szCs w:val="18"/>
              </w:rPr>
              <w:t xml:space="preserve">③</w:t>
            </w:r>
            <w:r/>
          </w:p>
        </w:tc>
        <w:tc>
          <w:tcPr>
            <w:tcW w:w="945" w:type="dxa"/>
            <w:vAlign w:val="center"/>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2</w:t>
            </w:r>
            <w:r/>
          </w:p>
        </w:tc>
        <w:tc>
          <w:tcPr>
            <w:tcW w:w="4611" w:type="dxa"/>
            <w:vAlign w:val="center"/>
            <w:textDirection w:val="lrTb"/>
            <w:noWrap/>
          </w:tcPr>
          <w:p>
            <w:pPr>
              <w:numPr>
                <w:ilvl w:val="255"/>
                <w:numId w:val="0"/>
              </w:numPr>
              <w:spacing w:line="360" w:lineRule="auto"/>
              <w:rPr>
                <w:rFonts w:hint="eastAsia" w:ascii="宋体" w:hAnsi="宋体"/>
                <w:sz w:val="18"/>
                <w:szCs w:val="18"/>
              </w:rPr>
            </w:pPr>
            <w:r>
              <w:rPr>
                <w:rFonts w:hint="eastAsia" w:ascii="宋体" w:hAnsi="宋体"/>
                <w:sz w:val="18"/>
                <w:szCs w:val="18"/>
              </w:rPr>
              <w:t xml:space="preserve">1.楼层：13/12/12；</w:t>
            </w:r>
            <w:r/>
          </w:p>
          <w:p>
            <w:pPr>
              <w:numPr>
                <w:ilvl w:val="255"/>
                <w:numId w:val="0"/>
              </w:numPr>
              <w:spacing w:line="360" w:lineRule="auto"/>
              <w:rPr>
                <w:rFonts w:hint="eastAsia" w:ascii="宋体" w:hAnsi="宋体"/>
                <w:sz w:val="18"/>
                <w:szCs w:val="18"/>
              </w:rPr>
            </w:pPr>
            <w:r>
              <w:rPr>
                <w:rFonts w:hint="eastAsia" w:ascii="宋体" w:hAnsi="宋体"/>
                <w:sz w:val="18"/>
                <w:szCs w:val="18"/>
              </w:rPr>
              <w:t xml:space="preserve">2.电梯停层：-1,1,3-12；</w:t>
            </w:r>
            <w:r/>
          </w:p>
          <w:p>
            <w:pPr>
              <w:numPr>
                <w:ilvl w:val="255"/>
                <w:numId w:val="0"/>
              </w:numPr>
              <w:spacing w:line="360" w:lineRule="auto"/>
              <w:rPr>
                <w:rFonts w:hint="eastAsia" w:ascii="宋体" w:hAnsi="宋体"/>
                <w:sz w:val="18"/>
                <w:szCs w:val="18"/>
              </w:rPr>
            </w:pPr>
            <w:r>
              <w:rPr>
                <w:rFonts w:hint="eastAsia" w:ascii="宋体" w:hAnsi="宋体"/>
                <w:sz w:val="18"/>
                <w:szCs w:val="18"/>
              </w:rPr>
              <w:t xml:space="preserve">3.额度载重：≥800kg；</w:t>
            </w:r>
            <w:r/>
          </w:p>
          <w:p>
            <w:pPr>
              <w:spacing w:line="360" w:lineRule="auto"/>
              <w:rPr>
                <w:rFonts w:hint="eastAsia" w:ascii="宋体" w:hAnsi="宋体"/>
                <w:sz w:val="18"/>
                <w:szCs w:val="18"/>
              </w:rPr>
            </w:pPr>
            <w:r>
              <w:rPr>
                <w:rFonts w:hint="eastAsia" w:ascii="宋体" w:hAnsi="宋体"/>
                <w:sz w:val="18"/>
                <w:szCs w:val="18"/>
              </w:rPr>
              <w:t xml:space="preserve">4.额定速度：≥1.6m/s；</w:t>
            </w:r>
            <w:r/>
          </w:p>
          <w:p>
            <w:pPr>
              <w:spacing w:line="360" w:lineRule="auto"/>
              <w:rPr>
                <w:rFonts w:hint="eastAsia" w:ascii="宋体" w:hAnsi="宋体"/>
                <w:sz w:val="18"/>
                <w:szCs w:val="18"/>
              </w:rPr>
            </w:pPr>
            <w:r>
              <w:rPr>
                <w:rFonts w:hint="eastAsia" w:ascii="宋体" w:hAnsi="宋体"/>
                <w:sz w:val="18"/>
                <w:szCs w:val="18"/>
              </w:rPr>
              <w:t xml:space="preserve">5.井道尺寸（mm）：1900×2100；</w:t>
            </w:r>
            <w:r/>
          </w:p>
          <w:p>
            <w:pPr>
              <w:spacing w:line="360" w:lineRule="auto"/>
              <w:rPr>
                <w:rFonts w:hint="eastAsia" w:ascii="宋体" w:hAnsi="宋体"/>
                <w:sz w:val="18"/>
                <w:szCs w:val="18"/>
              </w:rPr>
            </w:pPr>
            <w:r>
              <w:rPr>
                <w:rFonts w:hint="eastAsia" w:ascii="宋体" w:hAnsi="宋体"/>
                <w:sz w:val="18"/>
                <w:szCs w:val="18"/>
              </w:rPr>
              <w:t xml:space="preserve">6.单控；</w:t>
            </w:r>
            <w:r/>
          </w:p>
          <w:p>
            <w:pPr>
              <w:spacing w:line="360" w:lineRule="auto"/>
              <w:rPr>
                <w:rFonts w:hint="eastAsia" w:ascii="宋体" w:hAnsi="宋体"/>
                <w:sz w:val="18"/>
                <w:szCs w:val="18"/>
              </w:rPr>
            </w:pPr>
            <w:r>
              <w:rPr>
                <w:rFonts w:hint="eastAsia" w:ascii="宋体" w:hAnsi="宋体"/>
                <w:sz w:val="18"/>
                <w:szCs w:val="18"/>
              </w:rPr>
              <w:t xml:space="preserve">7.电梯位置：307单元、308单元。</w:t>
            </w:r>
            <w:r/>
          </w:p>
          <w:p>
            <w:pPr>
              <w:spacing w:line="360" w:lineRule="auto"/>
              <w:rPr>
                <w:rFonts w:hint="eastAsia" w:ascii="宋体" w:hAnsi="宋体"/>
                <w:sz w:val="18"/>
                <w:szCs w:val="18"/>
              </w:rPr>
            </w:pPr>
            <w:r>
              <w:rPr>
                <w:rFonts w:hint="eastAsia" w:ascii="宋体" w:hAnsi="宋体"/>
                <w:sz w:val="18"/>
                <w:szCs w:val="18"/>
              </w:rPr>
              <w:t xml:space="preserve">8.曳引机：曳引机制动器的动作次数（使用寿命）≥800万次；曳引机绕组温升≤100K；曳引机绝缘等级为F；电磁线局部放电性能满足：放电电荷阈值100pc时，放电起始电压≥500V。</w:t>
            </w:r>
            <w:r/>
          </w:p>
          <w:p>
            <w:pPr>
              <w:spacing w:line="360" w:lineRule="auto"/>
              <w:rPr>
                <w:rFonts w:hint="eastAsia" w:ascii="宋体" w:hAnsi="宋体"/>
                <w:sz w:val="18"/>
                <w:szCs w:val="18"/>
              </w:rPr>
            </w:pPr>
            <w:r>
              <w:rPr>
                <w:rFonts w:hint="eastAsia" w:ascii="宋体" w:hAnsi="宋体"/>
                <w:sz w:val="18"/>
                <w:szCs w:val="18"/>
              </w:rPr>
              <w:t xml:space="preserve">9.控制柜：雷击浪涌干扰电压≥15KV；控制柜的控制芯片采用 32 位微机或以上且满足电压（380V±10%）。</w:t>
            </w:r>
            <w:r/>
          </w:p>
          <w:p>
            <w:pPr>
              <w:spacing w:line="360" w:lineRule="auto"/>
              <w:rPr>
                <w:rFonts w:hint="eastAsia" w:ascii="宋体" w:hAnsi="宋体"/>
                <w:sz w:val="18"/>
                <w:szCs w:val="18"/>
              </w:rPr>
            </w:pPr>
            <w:r>
              <w:rPr>
                <w:rFonts w:hint="eastAsia" w:ascii="宋体" w:hAnsi="宋体"/>
                <w:sz w:val="18"/>
                <w:szCs w:val="18"/>
              </w:rPr>
              <w:t xml:space="preserve">10.升降梯门保护装置：电梯光幕为原厂原品牌。IP防护等级≥IP54，探测距离0~2m，响应时间≤100ms，扫描光束≥154束。</w:t>
            </w:r>
            <w:r/>
          </w:p>
          <w:p>
            <w:pPr>
              <w:spacing w:line="360" w:lineRule="auto"/>
              <w:rPr>
                <w:rFonts w:hint="eastAsia" w:ascii="宋体" w:hAnsi="宋体"/>
                <w:sz w:val="18"/>
                <w:szCs w:val="18"/>
              </w:rPr>
            </w:pPr>
            <w:r>
              <w:rPr>
                <w:rFonts w:hint="eastAsia" w:ascii="宋体" w:hAnsi="宋体"/>
                <w:sz w:val="18"/>
                <w:szCs w:val="18"/>
              </w:rPr>
              <w:t xml:space="preserve">11.门系统：永磁同步门系统运行寿命不低于500万次，外壳防护等级≥IP43。</w:t>
            </w:r>
            <w:r/>
          </w:p>
        </w:tc>
        <w:tc>
          <w:tcPr>
            <w:tcW w:w="1089" w:type="dxa"/>
            <w:vAlign w:val="center"/>
            <w:textDirection w:val="lrTb"/>
            <w:noWrap/>
          </w:tcPr>
          <w:p>
            <w:pPr>
              <w:spacing w:line="360" w:lineRule="auto"/>
              <w:rPr>
                <w:rFonts w:hint="eastAsia" w:ascii="宋体" w:hAnsi="宋体"/>
                <w:sz w:val="18"/>
                <w:szCs w:val="18"/>
              </w:rPr>
            </w:pPr>
            <w:r>
              <w:rPr>
                <w:rFonts w:hint="eastAsia" w:ascii="宋体" w:hAnsi="宋体"/>
                <w:sz w:val="18"/>
                <w:szCs w:val="18"/>
              </w:rPr>
            </w:r>
            <w:r/>
          </w:p>
        </w:tc>
      </w:tr>
      <w:tr>
        <w:trPr>
          <w:jc w:val="center"/>
          <w:trHeight w:val="270"/>
        </w:trPr>
        <w:tc>
          <w:tcPr>
            <w:tcW w:w="776" w:type="dxa"/>
            <w:vAlign w:val="center"/>
            <w:textDirection w:val="lrTb"/>
            <w:noWrap w:val="false"/>
          </w:tcPr>
          <w:p>
            <w:pPr>
              <w:jc w:val="center"/>
              <w:spacing w:line="360" w:lineRule="auto"/>
              <w:rPr>
                <w:rFonts w:hint="eastAsia" w:ascii="宋体" w:hAnsi="宋体"/>
                <w:sz w:val="18"/>
                <w:szCs w:val="18"/>
              </w:rPr>
            </w:pPr>
            <w:r>
              <w:rPr>
                <w:rFonts w:hint="eastAsia" w:ascii="宋体" w:hAnsi="宋体"/>
                <w:sz w:val="18"/>
                <w:szCs w:val="18"/>
              </w:rPr>
              <w:t xml:space="preserve">4</w:t>
            </w:r>
            <w:r/>
          </w:p>
        </w:tc>
        <w:tc>
          <w:tcPr>
            <w:tcW w:w="1302" w:type="dxa"/>
            <w:vAlign w:val="center"/>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春江花园三期电梯号</w:t>
            </w:r>
            <w:r>
              <w:rPr>
                <w:rFonts w:hint="eastAsia" w:ascii="宋体" w:hAnsi="宋体" w:cs="宋体"/>
                <w:sz w:val="18"/>
                <w:szCs w:val="18"/>
              </w:rPr>
              <w:t xml:space="preserve">④</w:t>
            </w:r>
            <w:r/>
          </w:p>
        </w:tc>
        <w:tc>
          <w:tcPr>
            <w:tcW w:w="945" w:type="dxa"/>
            <w:vAlign w:val="center"/>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1</w:t>
            </w:r>
            <w:r/>
          </w:p>
        </w:tc>
        <w:tc>
          <w:tcPr>
            <w:tcW w:w="4611" w:type="dxa"/>
            <w:vAlign w:val="center"/>
            <w:textDirection w:val="lrTb"/>
            <w:noWrap/>
          </w:tcPr>
          <w:p>
            <w:pPr>
              <w:numPr>
                <w:ilvl w:val="255"/>
                <w:numId w:val="0"/>
              </w:numPr>
              <w:spacing w:line="360" w:lineRule="auto"/>
              <w:rPr>
                <w:rFonts w:hint="eastAsia" w:ascii="宋体" w:hAnsi="宋体"/>
                <w:sz w:val="18"/>
                <w:szCs w:val="18"/>
              </w:rPr>
            </w:pPr>
            <w:r>
              <w:rPr>
                <w:rFonts w:hint="eastAsia" w:ascii="宋体" w:hAnsi="宋体"/>
                <w:sz w:val="18"/>
                <w:szCs w:val="18"/>
              </w:rPr>
              <w:t xml:space="preserve">1.楼层：10/10/10；</w:t>
            </w:r>
            <w:r/>
          </w:p>
          <w:p>
            <w:pPr>
              <w:numPr>
                <w:ilvl w:val="255"/>
                <w:numId w:val="0"/>
              </w:numPr>
              <w:spacing w:line="360" w:lineRule="auto"/>
              <w:rPr>
                <w:rFonts w:hint="eastAsia" w:ascii="宋体" w:hAnsi="宋体"/>
                <w:sz w:val="18"/>
                <w:szCs w:val="18"/>
              </w:rPr>
            </w:pPr>
            <w:r>
              <w:rPr>
                <w:rFonts w:hint="eastAsia" w:ascii="宋体" w:hAnsi="宋体"/>
                <w:sz w:val="18"/>
                <w:szCs w:val="18"/>
              </w:rPr>
              <w:t xml:space="preserve">2.电梯停层：1-10；</w:t>
            </w:r>
            <w:r/>
          </w:p>
          <w:p>
            <w:pPr>
              <w:numPr>
                <w:ilvl w:val="255"/>
                <w:numId w:val="0"/>
              </w:numPr>
              <w:spacing w:line="360" w:lineRule="auto"/>
              <w:rPr>
                <w:rFonts w:hint="eastAsia" w:ascii="宋体" w:hAnsi="宋体"/>
                <w:sz w:val="18"/>
                <w:szCs w:val="18"/>
              </w:rPr>
            </w:pPr>
            <w:r>
              <w:rPr>
                <w:rFonts w:hint="eastAsia" w:ascii="宋体" w:hAnsi="宋体"/>
                <w:sz w:val="18"/>
                <w:szCs w:val="18"/>
              </w:rPr>
              <w:t xml:space="preserve">3.额度载重：≥800kg；</w:t>
            </w:r>
            <w:r/>
          </w:p>
          <w:p>
            <w:pPr>
              <w:spacing w:line="360" w:lineRule="auto"/>
              <w:rPr>
                <w:rFonts w:hint="eastAsia" w:ascii="宋体" w:hAnsi="宋体"/>
                <w:sz w:val="18"/>
                <w:szCs w:val="18"/>
              </w:rPr>
            </w:pPr>
            <w:r>
              <w:rPr>
                <w:rFonts w:hint="eastAsia" w:ascii="宋体" w:hAnsi="宋体"/>
                <w:sz w:val="18"/>
                <w:szCs w:val="18"/>
              </w:rPr>
              <w:t xml:space="preserve">4.额定速度：≥1.6m/s</w:t>
            </w:r>
            <w:r/>
          </w:p>
          <w:p>
            <w:pPr>
              <w:spacing w:line="360" w:lineRule="auto"/>
              <w:rPr>
                <w:rFonts w:hint="eastAsia" w:ascii="宋体" w:hAnsi="宋体"/>
                <w:sz w:val="18"/>
                <w:szCs w:val="18"/>
              </w:rPr>
            </w:pPr>
            <w:r>
              <w:rPr>
                <w:rFonts w:hint="eastAsia" w:ascii="宋体" w:hAnsi="宋体"/>
                <w:sz w:val="18"/>
                <w:szCs w:val="18"/>
              </w:rPr>
              <w:t xml:space="preserve">；5.井道尺寸（mm）：1900×2100；</w:t>
            </w:r>
            <w:r/>
          </w:p>
          <w:p>
            <w:pPr>
              <w:spacing w:line="360" w:lineRule="auto"/>
              <w:rPr>
                <w:rFonts w:hint="eastAsia" w:ascii="宋体" w:hAnsi="宋体"/>
                <w:sz w:val="18"/>
                <w:szCs w:val="18"/>
              </w:rPr>
            </w:pPr>
            <w:r>
              <w:rPr>
                <w:rFonts w:hint="eastAsia" w:ascii="宋体" w:hAnsi="宋体"/>
                <w:sz w:val="18"/>
                <w:szCs w:val="18"/>
              </w:rPr>
              <w:t xml:space="preserve">6.单控；</w:t>
            </w:r>
            <w:r/>
          </w:p>
          <w:p>
            <w:pPr>
              <w:spacing w:line="360" w:lineRule="auto"/>
              <w:rPr>
                <w:rFonts w:hint="eastAsia" w:ascii="宋体" w:hAnsi="宋体"/>
                <w:sz w:val="18"/>
                <w:szCs w:val="18"/>
              </w:rPr>
            </w:pPr>
            <w:r>
              <w:rPr>
                <w:rFonts w:hint="eastAsia" w:ascii="宋体" w:hAnsi="宋体"/>
                <w:sz w:val="18"/>
                <w:szCs w:val="18"/>
              </w:rPr>
              <w:t xml:space="preserve">7.电梯位置：309单元。</w:t>
            </w:r>
            <w:r/>
          </w:p>
          <w:p>
            <w:pPr>
              <w:jc w:val="left"/>
              <w:spacing w:line="360" w:lineRule="auto"/>
              <w:tabs>
                <w:tab w:val="left" w:pos="290" w:leader="none"/>
              </w:tabs>
              <w:rPr>
                <w:rFonts w:hint="eastAsia" w:ascii="宋体" w:hAnsi="宋体"/>
                <w:sz w:val="18"/>
                <w:szCs w:val="18"/>
              </w:rPr>
            </w:pPr>
            <w:r>
              <w:rPr>
                <w:rFonts w:hint="eastAsia" w:ascii="宋体" w:hAnsi="宋体"/>
                <w:sz w:val="18"/>
                <w:szCs w:val="18"/>
              </w:rPr>
              <w:t xml:space="preserve">8.曳引机：曳引机制动器的动作次数（使用寿命）≥800万次；曳引机绕组温升≤100K；曳引机绝缘等级为F；电磁线局部放电性能满足：放电电荷阈值100pc时，放电起始电压≥500V。</w:t>
            </w:r>
            <w:r/>
          </w:p>
          <w:p>
            <w:pPr>
              <w:jc w:val="left"/>
              <w:spacing w:line="360" w:lineRule="auto"/>
              <w:tabs>
                <w:tab w:val="left" w:pos="290" w:leader="none"/>
              </w:tabs>
              <w:rPr>
                <w:rFonts w:hint="eastAsia" w:ascii="宋体" w:hAnsi="宋体"/>
                <w:sz w:val="18"/>
                <w:szCs w:val="18"/>
              </w:rPr>
            </w:pPr>
            <w:r>
              <w:rPr>
                <w:rFonts w:hint="eastAsia" w:ascii="宋体" w:hAnsi="宋体"/>
                <w:sz w:val="18"/>
                <w:szCs w:val="18"/>
              </w:rPr>
              <w:t xml:space="preserve">9.控制柜：雷击浪涌干扰电压≥15KV；控制柜的控制芯片采用 32 位微机或以上且满足电压（380V±10%）。</w:t>
            </w:r>
            <w:r/>
          </w:p>
          <w:p>
            <w:pPr>
              <w:jc w:val="left"/>
              <w:spacing w:line="360" w:lineRule="auto"/>
              <w:tabs>
                <w:tab w:val="left" w:pos="290" w:leader="none"/>
              </w:tabs>
              <w:rPr>
                <w:rFonts w:hint="eastAsia" w:ascii="宋体" w:hAnsi="宋体"/>
                <w:sz w:val="18"/>
                <w:szCs w:val="18"/>
              </w:rPr>
            </w:pPr>
            <w:r>
              <w:rPr>
                <w:rFonts w:hint="eastAsia" w:ascii="宋体" w:hAnsi="宋体"/>
                <w:sz w:val="18"/>
                <w:szCs w:val="18"/>
              </w:rPr>
              <w:t xml:space="preserve">10.升降梯门保护装置：电梯光幕为原厂原品牌。IP防护等级≥IP54，探测距离0~2m，响应时间≤100ms，扫描光束≥154束。</w:t>
            </w:r>
            <w:r/>
          </w:p>
          <w:p>
            <w:pPr>
              <w:spacing w:line="360" w:lineRule="auto"/>
              <w:rPr>
                <w:rFonts w:hint="eastAsia" w:ascii="宋体" w:hAnsi="宋体"/>
                <w:sz w:val="18"/>
                <w:szCs w:val="18"/>
              </w:rPr>
            </w:pPr>
            <w:r>
              <w:rPr>
                <w:rFonts w:hint="eastAsia" w:ascii="宋体" w:hAnsi="宋体"/>
                <w:sz w:val="18"/>
                <w:szCs w:val="18"/>
              </w:rPr>
              <w:t xml:space="preserve">11.门系统：永磁同步门系统运行寿命不低于500万次，外壳防护等级≥IP43。</w:t>
            </w:r>
            <w:r/>
          </w:p>
        </w:tc>
        <w:tc>
          <w:tcPr>
            <w:tcW w:w="1089" w:type="dxa"/>
            <w:vAlign w:val="center"/>
            <w:textDirection w:val="lrTb"/>
            <w:noWrap/>
          </w:tcPr>
          <w:p>
            <w:pPr>
              <w:spacing w:line="360" w:lineRule="auto"/>
              <w:rPr>
                <w:rFonts w:hint="eastAsia" w:ascii="宋体" w:hAnsi="宋体"/>
                <w:sz w:val="18"/>
                <w:szCs w:val="18"/>
              </w:rPr>
            </w:pPr>
            <w:r>
              <w:rPr>
                <w:rFonts w:hint="eastAsia" w:ascii="宋体" w:hAnsi="宋体"/>
                <w:sz w:val="18"/>
                <w:szCs w:val="18"/>
              </w:rPr>
            </w:r>
            <w:r/>
          </w:p>
        </w:tc>
      </w:tr>
      <w:tr>
        <w:trPr>
          <w:jc w:val="center"/>
          <w:trHeight w:val="270"/>
        </w:trPr>
        <w:tc>
          <w:tcPr>
            <w:tcW w:w="776" w:type="dxa"/>
            <w:vAlign w:val="center"/>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5</w:t>
            </w:r>
            <w:r/>
          </w:p>
        </w:tc>
        <w:tc>
          <w:tcPr>
            <w:tcW w:w="1302" w:type="dxa"/>
            <w:vAlign w:val="center"/>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柏木南苑电梯号</w:t>
            </w:r>
            <w:r>
              <w:rPr>
                <w:rFonts w:hint="eastAsia" w:ascii="宋体" w:hAnsi="宋体" w:cs="宋体"/>
                <w:sz w:val="18"/>
                <w:szCs w:val="18"/>
              </w:rPr>
              <w:t xml:space="preserve">①</w:t>
            </w:r>
            <w:r/>
          </w:p>
        </w:tc>
        <w:tc>
          <w:tcPr>
            <w:tcW w:w="945" w:type="dxa"/>
            <w:vAlign w:val="center"/>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3</w:t>
            </w:r>
            <w:r/>
          </w:p>
        </w:tc>
        <w:tc>
          <w:tcPr>
            <w:tcW w:w="4611" w:type="dxa"/>
            <w:vAlign w:val="center"/>
            <w:textDirection w:val="lrTb"/>
            <w:noWrap/>
          </w:tcPr>
          <w:p>
            <w:pPr>
              <w:numPr>
                <w:ilvl w:val="255"/>
                <w:numId w:val="0"/>
              </w:numPr>
              <w:spacing w:line="360" w:lineRule="auto"/>
              <w:rPr>
                <w:rFonts w:hint="eastAsia" w:ascii="宋体" w:hAnsi="宋体"/>
                <w:sz w:val="18"/>
                <w:szCs w:val="18"/>
              </w:rPr>
            </w:pPr>
            <w:r>
              <w:rPr>
                <w:rFonts w:hint="eastAsia" w:ascii="宋体" w:hAnsi="宋体"/>
                <w:sz w:val="18"/>
                <w:szCs w:val="18"/>
              </w:rPr>
              <w:t xml:space="preserve">1.楼层：12/12/12；</w:t>
            </w:r>
            <w:r/>
          </w:p>
          <w:p>
            <w:pPr>
              <w:numPr>
                <w:ilvl w:val="255"/>
                <w:numId w:val="0"/>
              </w:numPr>
              <w:spacing w:line="360" w:lineRule="auto"/>
              <w:rPr>
                <w:rFonts w:hint="eastAsia" w:ascii="宋体" w:hAnsi="宋体"/>
                <w:sz w:val="18"/>
                <w:szCs w:val="18"/>
              </w:rPr>
            </w:pPr>
            <w:r>
              <w:rPr>
                <w:rFonts w:hint="eastAsia" w:ascii="宋体" w:hAnsi="宋体"/>
                <w:sz w:val="18"/>
                <w:szCs w:val="18"/>
              </w:rPr>
              <w:t xml:space="preserve">2.电梯停层：-1-11；</w:t>
            </w:r>
            <w:r/>
          </w:p>
          <w:p>
            <w:pPr>
              <w:numPr>
                <w:ilvl w:val="255"/>
                <w:numId w:val="0"/>
              </w:numPr>
              <w:spacing w:line="360" w:lineRule="auto"/>
              <w:rPr>
                <w:rFonts w:hint="eastAsia" w:ascii="宋体" w:hAnsi="宋体"/>
                <w:sz w:val="18"/>
                <w:szCs w:val="18"/>
              </w:rPr>
            </w:pPr>
            <w:r>
              <w:rPr>
                <w:rFonts w:hint="eastAsia" w:ascii="宋体" w:hAnsi="宋体"/>
                <w:sz w:val="18"/>
                <w:szCs w:val="18"/>
              </w:rPr>
              <w:t xml:space="preserve">3.额度载重：≥800kg；</w:t>
            </w:r>
            <w:r/>
          </w:p>
          <w:p>
            <w:pPr>
              <w:spacing w:line="360" w:lineRule="auto"/>
              <w:rPr>
                <w:rFonts w:hint="eastAsia" w:ascii="宋体" w:hAnsi="宋体"/>
                <w:sz w:val="18"/>
                <w:szCs w:val="18"/>
              </w:rPr>
            </w:pPr>
            <w:r>
              <w:rPr>
                <w:rFonts w:hint="eastAsia" w:ascii="宋体" w:hAnsi="宋体"/>
                <w:sz w:val="18"/>
                <w:szCs w:val="18"/>
              </w:rPr>
              <w:t xml:space="preserve">4.额定速度：≥1.75m/s；</w:t>
            </w:r>
            <w:r/>
          </w:p>
          <w:p>
            <w:pPr>
              <w:spacing w:line="360" w:lineRule="auto"/>
              <w:rPr>
                <w:rFonts w:hint="eastAsia" w:ascii="宋体" w:hAnsi="宋体"/>
                <w:sz w:val="18"/>
                <w:szCs w:val="18"/>
              </w:rPr>
            </w:pPr>
            <w:r>
              <w:rPr>
                <w:rFonts w:hint="eastAsia" w:ascii="宋体" w:hAnsi="宋体"/>
                <w:sz w:val="18"/>
                <w:szCs w:val="18"/>
              </w:rPr>
              <w:t xml:space="preserve">5.井道尺寸（mm）：2000×2000；</w:t>
            </w:r>
            <w:r/>
          </w:p>
          <w:p>
            <w:pPr>
              <w:spacing w:line="360" w:lineRule="auto"/>
              <w:rPr>
                <w:rFonts w:hint="eastAsia" w:ascii="宋体" w:hAnsi="宋体"/>
                <w:sz w:val="18"/>
                <w:szCs w:val="18"/>
              </w:rPr>
            </w:pPr>
            <w:r>
              <w:rPr>
                <w:rFonts w:hint="eastAsia" w:ascii="宋体" w:hAnsi="宋体"/>
                <w:sz w:val="18"/>
                <w:szCs w:val="18"/>
              </w:rPr>
              <w:t xml:space="preserve">6.单控；</w:t>
            </w:r>
            <w:r/>
          </w:p>
          <w:p>
            <w:pPr>
              <w:spacing w:line="360" w:lineRule="auto"/>
              <w:rPr>
                <w:rFonts w:hint="eastAsia" w:ascii="宋体" w:hAnsi="宋体"/>
                <w:sz w:val="18"/>
                <w:szCs w:val="18"/>
              </w:rPr>
            </w:pPr>
            <w:r>
              <w:rPr>
                <w:rFonts w:hint="eastAsia" w:ascii="宋体" w:hAnsi="宋体"/>
                <w:sz w:val="18"/>
                <w:szCs w:val="18"/>
              </w:rPr>
              <w:t xml:space="preserve">7.电梯位置：1、2、3单元。</w:t>
            </w:r>
            <w:r/>
          </w:p>
          <w:p>
            <w:pPr>
              <w:jc w:val="left"/>
              <w:spacing w:line="360" w:lineRule="auto"/>
              <w:tabs>
                <w:tab w:val="left" w:pos="290" w:leader="none"/>
              </w:tabs>
              <w:rPr>
                <w:rFonts w:hint="eastAsia" w:ascii="宋体" w:hAnsi="宋体"/>
                <w:sz w:val="18"/>
                <w:szCs w:val="18"/>
              </w:rPr>
            </w:pPr>
            <w:r>
              <w:rPr>
                <w:rFonts w:hint="eastAsia" w:ascii="宋体" w:hAnsi="宋体"/>
                <w:sz w:val="18"/>
                <w:szCs w:val="18"/>
              </w:rPr>
              <w:t xml:space="preserve">8.曳引机：曳引机制动器的动作次数（使用寿命）≥800万次；曳引机绕组温升≤100K；曳引机绝缘等级为F；电磁线局部放电性能满足：放电电荷阈值100pc时，放电起始电压≥500V。</w:t>
            </w:r>
            <w:r/>
          </w:p>
          <w:p>
            <w:pPr>
              <w:jc w:val="left"/>
              <w:spacing w:line="360" w:lineRule="auto"/>
              <w:tabs>
                <w:tab w:val="left" w:pos="290" w:leader="none"/>
              </w:tabs>
              <w:rPr>
                <w:rFonts w:hint="eastAsia" w:ascii="宋体" w:hAnsi="宋体"/>
                <w:sz w:val="18"/>
                <w:szCs w:val="18"/>
              </w:rPr>
            </w:pPr>
            <w:r>
              <w:rPr>
                <w:rFonts w:hint="eastAsia" w:ascii="宋体" w:hAnsi="宋体"/>
                <w:sz w:val="18"/>
                <w:szCs w:val="18"/>
              </w:rPr>
              <w:t xml:space="preserve">9.控制柜：雷击浪涌干扰电压≥15KV；控制柜的控制芯片采用 32 位微机或以上且满足电压（380V±10%）。</w:t>
            </w:r>
            <w:r/>
          </w:p>
          <w:p>
            <w:pPr>
              <w:jc w:val="left"/>
              <w:spacing w:line="360" w:lineRule="auto"/>
              <w:tabs>
                <w:tab w:val="left" w:pos="290" w:leader="none"/>
              </w:tabs>
              <w:rPr>
                <w:rFonts w:hint="eastAsia" w:ascii="宋体" w:hAnsi="宋体"/>
                <w:sz w:val="18"/>
                <w:szCs w:val="18"/>
              </w:rPr>
            </w:pPr>
            <w:r>
              <w:rPr>
                <w:rFonts w:hint="eastAsia" w:ascii="宋体" w:hAnsi="宋体"/>
                <w:sz w:val="18"/>
                <w:szCs w:val="18"/>
              </w:rPr>
              <w:t xml:space="preserve">10.升降梯门保护装置：电梯光幕为原厂原品牌。IP防护等级≥IP54，探测距离0~2m，响应时间≤100ms，扫描光束≥154束。</w:t>
            </w:r>
            <w:r/>
          </w:p>
          <w:p>
            <w:pPr>
              <w:spacing w:line="360" w:lineRule="auto"/>
              <w:rPr>
                <w:rFonts w:hint="eastAsia" w:ascii="宋体" w:hAnsi="宋体"/>
                <w:sz w:val="18"/>
                <w:szCs w:val="18"/>
              </w:rPr>
            </w:pPr>
            <w:r>
              <w:rPr>
                <w:rFonts w:hint="eastAsia" w:ascii="宋体" w:hAnsi="宋体"/>
                <w:sz w:val="18"/>
                <w:szCs w:val="18"/>
              </w:rPr>
              <w:t xml:space="preserve">11.门系统：永磁同步门系统运行寿命不低于500万次，外壳防护等级≥IP43。</w:t>
            </w:r>
            <w:r/>
          </w:p>
        </w:tc>
        <w:tc>
          <w:tcPr>
            <w:tcW w:w="1089" w:type="dxa"/>
            <w:vAlign w:val="center"/>
            <w:textDirection w:val="lrTb"/>
            <w:noWrap/>
          </w:tcPr>
          <w:p>
            <w:pPr>
              <w:spacing w:line="360" w:lineRule="auto"/>
              <w:rPr>
                <w:rFonts w:hint="eastAsia" w:ascii="宋体" w:hAnsi="宋体"/>
                <w:sz w:val="18"/>
                <w:szCs w:val="18"/>
              </w:rPr>
            </w:pPr>
            <w:r>
              <w:rPr>
                <w:rFonts w:hint="eastAsia" w:ascii="宋体" w:hAnsi="宋体"/>
                <w:sz w:val="18"/>
                <w:szCs w:val="18"/>
              </w:rPr>
            </w:r>
            <w:r/>
          </w:p>
        </w:tc>
      </w:tr>
      <w:tr>
        <w:trPr>
          <w:jc w:val="center"/>
          <w:trHeight w:val="270"/>
        </w:trPr>
        <w:tc>
          <w:tcPr>
            <w:tcW w:w="776" w:type="dxa"/>
            <w:vAlign w:val="center"/>
            <w:textDirection w:val="lrTb"/>
            <w:noWrap w:val="false"/>
          </w:tcPr>
          <w:p>
            <w:pPr>
              <w:jc w:val="center"/>
              <w:spacing w:line="360" w:lineRule="auto"/>
              <w:rPr>
                <w:rFonts w:hint="eastAsia" w:ascii="宋体" w:hAnsi="宋体"/>
                <w:sz w:val="18"/>
                <w:szCs w:val="18"/>
              </w:rPr>
            </w:pPr>
            <w:r>
              <w:rPr>
                <w:rFonts w:hint="eastAsia" w:ascii="宋体" w:hAnsi="宋体"/>
                <w:sz w:val="18"/>
                <w:szCs w:val="18"/>
              </w:rPr>
              <w:t xml:space="preserve">6</w:t>
            </w:r>
            <w:r/>
          </w:p>
        </w:tc>
        <w:tc>
          <w:tcPr>
            <w:tcW w:w="1302" w:type="dxa"/>
            <w:vAlign w:val="center"/>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柏木南苑电梯号</w:t>
            </w:r>
            <w:r>
              <w:rPr>
                <w:rFonts w:hint="eastAsia" w:ascii="宋体" w:hAnsi="宋体" w:cs="宋体"/>
                <w:sz w:val="18"/>
                <w:szCs w:val="18"/>
              </w:rPr>
              <w:t xml:space="preserve">②</w:t>
            </w:r>
            <w:r/>
          </w:p>
        </w:tc>
        <w:tc>
          <w:tcPr>
            <w:tcW w:w="945" w:type="dxa"/>
            <w:vAlign w:val="center"/>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9</w:t>
            </w:r>
            <w:r/>
          </w:p>
        </w:tc>
        <w:tc>
          <w:tcPr>
            <w:tcW w:w="4611" w:type="dxa"/>
            <w:vAlign w:val="center"/>
            <w:textDirection w:val="lrTb"/>
            <w:noWrap/>
          </w:tcPr>
          <w:p>
            <w:pPr>
              <w:numPr>
                <w:ilvl w:val="255"/>
                <w:numId w:val="0"/>
              </w:numPr>
              <w:spacing w:line="360" w:lineRule="auto"/>
              <w:rPr>
                <w:rFonts w:hint="eastAsia" w:ascii="宋体" w:hAnsi="宋体"/>
                <w:sz w:val="18"/>
                <w:szCs w:val="18"/>
              </w:rPr>
            </w:pPr>
            <w:r>
              <w:rPr>
                <w:rFonts w:hint="eastAsia" w:ascii="宋体" w:hAnsi="宋体"/>
                <w:sz w:val="18"/>
                <w:szCs w:val="18"/>
              </w:rPr>
              <w:t xml:space="preserve">1.楼层：11/11/11；</w:t>
            </w:r>
            <w:r/>
          </w:p>
          <w:p>
            <w:pPr>
              <w:numPr>
                <w:ilvl w:val="255"/>
                <w:numId w:val="0"/>
              </w:numPr>
              <w:spacing w:line="360" w:lineRule="auto"/>
              <w:rPr>
                <w:rFonts w:hint="eastAsia" w:ascii="宋体" w:hAnsi="宋体"/>
                <w:sz w:val="18"/>
                <w:szCs w:val="18"/>
              </w:rPr>
            </w:pPr>
            <w:r>
              <w:rPr>
                <w:rFonts w:hint="eastAsia" w:ascii="宋体" w:hAnsi="宋体"/>
                <w:sz w:val="18"/>
                <w:szCs w:val="18"/>
              </w:rPr>
              <w:t xml:space="preserve">2.电梯停层：1-11；</w:t>
            </w:r>
            <w:r/>
          </w:p>
          <w:p>
            <w:pPr>
              <w:numPr>
                <w:ilvl w:val="255"/>
                <w:numId w:val="0"/>
              </w:numPr>
              <w:spacing w:line="360" w:lineRule="auto"/>
              <w:rPr>
                <w:rFonts w:hint="eastAsia" w:ascii="宋体" w:hAnsi="宋体"/>
                <w:sz w:val="18"/>
                <w:szCs w:val="18"/>
              </w:rPr>
            </w:pPr>
            <w:r>
              <w:rPr>
                <w:rFonts w:hint="eastAsia" w:ascii="宋体" w:hAnsi="宋体"/>
                <w:sz w:val="18"/>
                <w:szCs w:val="18"/>
              </w:rPr>
              <w:t xml:space="preserve">3.额度载重：≥800kg；</w:t>
            </w:r>
            <w:r/>
          </w:p>
          <w:p>
            <w:pPr>
              <w:spacing w:line="360" w:lineRule="auto"/>
              <w:rPr>
                <w:rFonts w:hint="eastAsia" w:ascii="宋体" w:hAnsi="宋体"/>
                <w:sz w:val="18"/>
                <w:szCs w:val="18"/>
              </w:rPr>
            </w:pPr>
            <w:r>
              <w:rPr>
                <w:rFonts w:hint="eastAsia" w:ascii="宋体" w:hAnsi="宋体"/>
                <w:sz w:val="18"/>
                <w:szCs w:val="18"/>
              </w:rPr>
              <w:t xml:space="preserve">4.额定速度：≥1.75m/s；</w:t>
            </w:r>
            <w:r/>
          </w:p>
          <w:p>
            <w:pPr>
              <w:spacing w:line="360" w:lineRule="auto"/>
              <w:rPr>
                <w:rFonts w:hint="eastAsia" w:ascii="宋体" w:hAnsi="宋体"/>
                <w:sz w:val="18"/>
                <w:szCs w:val="18"/>
              </w:rPr>
            </w:pPr>
            <w:r>
              <w:rPr>
                <w:rFonts w:hint="eastAsia" w:ascii="宋体" w:hAnsi="宋体"/>
                <w:sz w:val="18"/>
                <w:szCs w:val="18"/>
              </w:rPr>
              <w:t xml:space="preserve">5.井道尺寸（mm）：2000×2000；</w:t>
            </w:r>
            <w:r/>
          </w:p>
          <w:p>
            <w:pPr>
              <w:spacing w:line="360" w:lineRule="auto"/>
              <w:rPr>
                <w:rFonts w:hint="eastAsia" w:ascii="宋体" w:hAnsi="宋体"/>
                <w:sz w:val="18"/>
                <w:szCs w:val="18"/>
              </w:rPr>
            </w:pPr>
            <w:r>
              <w:rPr>
                <w:rFonts w:hint="eastAsia" w:ascii="宋体" w:hAnsi="宋体"/>
                <w:sz w:val="18"/>
                <w:szCs w:val="18"/>
              </w:rPr>
              <w:t xml:space="preserve">6.单控；</w:t>
            </w:r>
            <w:r/>
          </w:p>
          <w:p>
            <w:pPr>
              <w:spacing w:line="360" w:lineRule="auto"/>
              <w:rPr>
                <w:rFonts w:hint="eastAsia" w:ascii="宋体" w:hAnsi="宋体"/>
                <w:sz w:val="18"/>
                <w:szCs w:val="18"/>
              </w:rPr>
            </w:pPr>
            <w:r>
              <w:rPr>
                <w:rFonts w:hint="eastAsia" w:ascii="宋体" w:hAnsi="宋体"/>
                <w:sz w:val="18"/>
                <w:szCs w:val="18"/>
              </w:rPr>
              <w:t xml:space="preserve">7.电梯位置：4、5、6、7、8、9、10、11、12单元。</w:t>
            </w:r>
            <w:r/>
          </w:p>
          <w:p>
            <w:pPr>
              <w:jc w:val="left"/>
              <w:spacing w:line="360" w:lineRule="auto"/>
              <w:tabs>
                <w:tab w:val="left" w:pos="290" w:leader="none"/>
              </w:tabs>
              <w:rPr>
                <w:rFonts w:hint="eastAsia" w:ascii="宋体" w:hAnsi="宋体"/>
                <w:sz w:val="18"/>
                <w:szCs w:val="18"/>
              </w:rPr>
            </w:pPr>
            <w:r>
              <w:rPr>
                <w:rFonts w:hint="eastAsia" w:ascii="宋体" w:hAnsi="宋体"/>
                <w:sz w:val="18"/>
                <w:szCs w:val="18"/>
              </w:rPr>
              <w:t xml:space="preserve">8.曳引机：曳引机制动器的动作次数（使用寿命）≥800万次；曳引机绕组温升≤100K；曳引机绝缘等级为F；电磁线局部放电性能满足：放电电荷阈值100pc时，放电起始电压≥500V。</w:t>
            </w:r>
            <w:r/>
          </w:p>
          <w:p>
            <w:pPr>
              <w:jc w:val="left"/>
              <w:spacing w:line="360" w:lineRule="auto"/>
              <w:tabs>
                <w:tab w:val="left" w:pos="290" w:leader="none"/>
              </w:tabs>
              <w:rPr>
                <w:rFonts w:hint="eastAsia" w:ascii="宋体" w:hAnsi="宋体"/>
                <w:sz w:val="18"/>
                <w:szCs w:val="18"/>
              </w:rPr>
            </w:pPr>
            <w:r>
              <w:rPr>
                <w:rFonts w:hint="eastAsia" w:ascii="宋体" w:hAnsi="宋体"/>
                <w:sz w:val="18"/>
                <w:szCs w:val="18"/>
              </w:rPr>
              <w:t xml:space="preserve">9.控制柜：雷击浪涌干扰电压≥15KV；控制柜的控制芯片采用 32 位微机或以上且满足电压（380V±10%）。</w:t>
            </w:r>
            <w:r/>
          </w:p>
          <w:p>
            <w:pPr>
              <w:jc w:val="left"/>
              <w:spacing w:line="360" w:lineRule="auto"/>
              <w:tabs>
                <w:tab w:val="left" w:pos="290" w:leader="none"/>
              </w:tabs>
              <w:rPr>
                <w:rFonts w:hint="eastAsia" w:ascii="宋体" w:hAnsi="宋体"/>
                <w:sz w:val="18"/>
                <w:szCs w:val="18"/>
              </w:rPr>
            </w:pPr>
            <w:r>
              <w:rPr>
                <w:rFonts w:hint="eastAsia" w:ascii="宋体" w:hAnsi="宋体"/>
                <w:sz w:val="18"/>
                <w:szCs w:val="18"/>
              </w:rPr>
              <w:t xml:space="preserve">10.升降梯门保护装置：电梯光幕为原厂原品牌。IP防护等级≥IP54，探测距离0~2m，响应时间≤100ms，扫描光束≥154束。</w:t>
            </w:r>
            <w:r/>
          </w:p>
          <w:p>
            <w:pPr>
              <w:spacing w:line="360" w:lineRule="auto"/>
              <w:rPr>
                <w:rFonts w:hint="eastAsia" w:ascii="宋体" w:hAnsi="宋体"/>
                <w:sz w:val="18"/>
                <w:szCs w:val="18"/>
              </w:rPr>
            </w:pPr>
            <w:r>
              <w:rPr>
                <w:rFonts w:hint="eastAsia" w:ascii="宋体" w:hAnsi="宋体"/>
                <w:sz w:val="18"/>
                <w:szCs w:val="18"/>
              </w:rPr>
              <w:t xml:space="preserve">11.门系统：永磁同步门系统运行寿命不低于500万次，外壳防护等级≥IP43。</w:t>
            </w:r>
            <w:r/>
          </w:p>
        </w:tc>
        <w:tc>
          <w:tcPr>
            <w:tcW w:w="1089" w:type="dxa"/>
            <w:vAlign w:val="center"/>
            <w:textDirection w:val="lrTb"/>
            <w:noWrap/>
          </w:tcPr>
          <w:p>
            <w:pPr>
              <w:spacing w:line="360" w:lineRule="auto"/>
              <w:rPr>
                <w:rFonts w:hint="eastAsia" w:ascii="宋体" w:hAnsi="宋体"/>
                <w:sz w:val="18"/>
                <w:szCs w:val="18"/>
              </w:rPr>
            </w:pPr>
            <w:r>
              <w:rPr>
                <w:rFonts w:hint="eastAsia" w:ascii="宋体" w:hAnsi="宋体"/>
                <w:sz w:val="18"/>
                <w:szCs w:val="18"/>
              </w:rPr>
            </w:r>
            <w:r/>
          </w:p>
        </w:tc>
      </w:tr>
      <w:tr>
        <w:trPr>
          <w:jc w:val="center"/>
          <w:trHeight w:val="270"/>
        </w:trPr>
        <w:tc>
          <w:tcPr>
            <w:tcW w:w="776" w:type="dxa"/>
            <w:vAlign w:val="center"/>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7</w:t>
            </w:r>
            <w:r/>
          </w:p>
        </w:tc>
        <w:tc>
          <w:tcPr>
            <w:tcW w:w="1302" w:type="dxa"/>
            <w:vAlign w:val="center"/>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金锡苑(北区)电梯号</w:t>
            </w:r>
            <w:r>
              <w:rPr>
                <w:rFonts w:hint="eastAsia" w:ascii="宋体" w:hAnsi="宋体" w:cs="宋体"/>
                <w:sz w:val="18"/>
                <w:szCs w:val="18"/>
              </w:rPr>
              <w:t xml:space="preserve">①</w:t>
            </w:r>
            <w:r/>
          </w:p>
        </w:tc>
        <w:tc>
          <w:tcPr>
            <w:tcW w:w="945" w:type="dxa"/>
            <w:vAlign w:val="center"/>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9</w:t>
            </w:r>
            <w:r/>
          </w:p>
        </w:tc>
        <w:tc>
          <w:tcPr>
            <w:tcW w:w="4611" w:type="dxa"/>
            <w:vAlign w:val="center"/>
            <w:textDirection w:val="lrTb"/>
            <w:noWrap/>
          </w:tcPr>
          <w:p>
            <w:pPr>
              <w:numPr>
                <w:ilvl w:val="255"/>
                <w:numId w:val="0"/>
              </w:numPr>
              <w:spacing w:line="360" w:lineRule="auto"/>
              <w:rPr>
                <w:rFonts w:hint="eastAsia" w:ascii="宋体" w:hAnsi="宋体"/>
                <w:sz w:val="18"/>
                <w:szCs w:val="18"/>
              </w:rPr>
            </w:pPr>
            <w:r>
              <w:rPr>
                <w:rFonts w:hint="eastAsia" w:ascii="宋体" w:hAnsi="宋体"/>
                <w:sz w:val="18"/>
                <w:szCs w:val="18"/>
              </w:rPr>
              <w:t xml:space="preserve">1.楼层：11/11/11；</w:t>
            </w:r>
            <w:r/>
          </w:p>
          <w:p>
            <w:pPr>
              <w:numPr>
                <w:ilvl w:val="255"/>
                <w:numId w:val="0"/>
              </w:numPr>
              <w:spacing w:line="360" w:lineRule="auto"/>
              <w:rPr>
                <w:rFonts w:hint="eastAsia" w:ascii="宋体" w:hAnsi="宋体"/>
                <w:sz w:val="18"/>
                <w:szCs w:val="18"/>
              </w:rPr>
            </w:pPr>
            <w:r>
              <w:rPr>
                <w:rFonts w:hint="eastAsia" w:ascii="宋体" w:hAnsi="宋体"/>
                <w:sz w:val="18"/>
                <w:szCs w:val="18"/>
              </w:rPr>
              <w:t xml:space="preserve">2.电梯停层：1-11；</w:t>
            </w:r>
            <w:r/>
          </w:p>
          <w:p>
            <w:pPr>
              <w:numPr>
                <w:ilvl w:val="255"/>
                <w:numId w:val="0"/>
              </w:numPr>
              <w:spacing w:line="360" w:lineRule="auto"/>
              <w:rPr>
                <w:rFonts w:hint="eastAsia" w:ascii="宋体" w:hAnsi="宋体"/>
                <w:sz w:val="18"/>
                <w:szCs w:val="18"/>
              </w:rPr>
            </w:pPr>
            <w:r>
              <w:rPr>
                <w:rFonts w:hint="eastAsia" w:ascii="宋体" w:hAnsi="宋体"/>
                <w:sz w:val="18"/>
                <w:szCs w:val="18"/>
              </w:rPr>
              <w:t xml:space="preserve">3.额度载重：≥800kg；</w:t>
            </w:r>
            <w:r/>
          </w:p>
          <w:p>
            <w:pPr>
              <w:spacing w:line="360" w:lineRule="auto"/>
              <w:rPr>
                <w:rFonts w:hint="eastAsia" w:ascii="宋体" w:hAnsi="宋体"/>
                <w:sz w:val="18"/>
                <w:szCs w:val="18"/>
              </w:rPr>
            </w:pPr>
            <w:r>
              <w:rPr>
                <w:rFonts w:hint="eastAsia" w:ascii="宋体" w:hAnsi="宋体"/>
                <w:sz w:val="18"/>
                <w:szCs w:val="18"/>
              </w:rPr>
              <w:t xml:space="preserve">4.额定速度：≥1.75m/s；</w:t>
            </w:r>
            <w:r/>
          </w:p>
          <w:p>
            <w:pPr>
              <w:spacing w:line="360" w:lineRule="auto"/>
              <w:rPr>
                <w:rFonts w:hint="eastAsia" w:ascii="宋体" w:hAnsi="宋体"/>
                <w:sz w:val="18"/>
                <w:szCs w:val="18"/>
              </w:rPr>
            </w:pPr>
            <w:r>
              <w:rPr>
                <w:rFonts w:hint="eastAsia" w:ascii="宋体" w:hAnsi="宋体"/>
                <w:sz w:val="18"/>
                <w:szCs w:val="18"/>
              </w:rPr>
              <w:t xml:space="preserve">5.井道尺寸（mm）：2000×2000；</w:t>
            </w:r>
            <w:r/>
          </w:p>
          <w:p>
            <w:pPr>
              <w:spacing w:line="360" w:lineRule="auto"/>
              <w:rPr>
                <w:rFonts w:hint="eastAsia" w:ascii="宋体" w:hAnsi="宋体"/>
                <w:sz w:val="18"/>
                <w:szCs w:val="18"/>
              </w:rPr>
            </w:pPr>
            <w:r>
              <w:rPr>
                <w:rFonts w:hint="eastAsia" w:ascii="宋体" w:hAnsi="宋体"/>
                <w:sz w:val="18"/>
                <w:szCs w:val="18"/>
              </w:rPr>
              <w:t xml:space="preserve">6.单控；</w:t>
            </w:r>
            <w:r/>
          </w:p>
          <w:p>
            <w:pPr>
              <w:spacing w:line="360" w:lineRule="auto"/>
              <w:rPr>
                <w:rFonts w:hint="eastAsia" w:ascii="宋体" w:hAnsi="宋体"/>
                <w:sz w:val="18"/>
                <w:szCs w:val="18"/>
              </w:rPr>
            </w:pPr>
            <w:r>
              <w:rPr>
                <w:rFonts w:hint="eastAsia" w:ascii="宋体" w:hAnsi="宋体"/>
                <w:sz w:val="18"/>
                <w:szCs w:val="18"/>
              </w:rPr>
              <w:t xml:space="preserve">7.电梯位置：254、255、256、257、258、259、260、261、262单元。</w:t>
            </w:r>
            <w:r/>
          </w:p>
          <w:p>
            <w:pPr>
              <w:spacing w:line="360" w:lineRule="auto"/>
              <w:rPr>
                <w:rFonts w:hint="eastAsia" w:ascii="宋体" w:hAnsi="宋体"/>
                <w:sz w:val="18"/>
                <w:szCs w:val="18"/>
              </w:rPr>
            </w:pPr>
            <w:r>
              <w:rPr>
                <w:rFonts w:hint="eastAsia" w:ascii="宋体" w:hAnsi="宋体"/>
                <w:sz w:val="18"/>
                <w:szCs w:val="18"/>
              </w:rPr>
              <w:t xml:space="preserve">8.曳引机：曳引机制动器的动作次数（使用寿命）≥800万次；曳引机绕组温升≤100K；曳引机绝缘等级为F；电磁线局部放电性能满足：放电电荷阈值100pc时，放电起始电压≥500V。</w:t>
            </w:r>
            <w:r/>
          </w:p>
          <w:p>
            <w:pPr>
              <w:spacing w:line="360" w:lineRule="auto"/>
              <w:rPr>
                <w:rFonts w:hint="eastAsia" w:ascii="宋体" w:hAnsi="宋体"/>
                <w:sz w:val="18"/>
                <w:szCs w:val="18"/>
              </w:rPr>
            </w:pPr>
            <w:r>
              <w:rPr>
                <w:rFonts w:hint="eastAsia" w:ascii="宋体" w:hAnsi="宋体"/>
                <w:sz w:val="18"/>
                <w:szCs w:val="18"/>
              </w:rPr>
              <w:t xml:space="preserve">9.控制柜：雷击浪涌干扰电压≥15KV；控制柜的控制芯片采用 32 位微机或以上且满足电压（380V±10%）。</w:t>
            </w:r>
            <w:r/>
          </w:p>
          <w:p>
            <w:pPr>
              <w:spacing w:line="360" w:lineRule="auto"/>
              <w:rPr>
                <w:rFonts w:hint="eastAsia" w:ascii="宋体" w:hAnsi="宋体"/>
                <w:sz w:val="18"/>
                <w:szCs w:val="18"/>
              </w:rPr>
            </w:pPr>
            <w:r>
              <w:rPr>
                <w:rFonts w:hint="eastAsia" w:ascii="宋体" w:hAnsi="宋体"/>
                <w:sz w:val="18"/>
                <w:szCs w:val="18"/>
              </w:rPr>
              <w:t xml:space="preserve">10.升降梯门保护装置：电梯光幕为原厂原品牌。IP防护等级≥IP54，探测距离0~2m，响应时间≤100ms，扫描光束≥154束。</w:t>
            </w:r>
            <w:r/>
          </w:p>
          <w:p>
            <w:pPr>
              <w:spacing w:line="360" w:lineRule="auto"/>
              <w:rPr>
                <w:rFonts w:hint="eastAsia" w:ascii="宋体" w:hAnsi="宋体"/>
                <w:sz w:val="18"/>
                <w:szCs w:val="18"/>
              </w:rPr>
            </w:pPr>
            <w:r>
              <w:rPr>
                <w:rFonts w:hint="eastAsia" w:ascii="宋体" w:hAnsi="宋体"/>
                <w:sz w:val="18"/>
                <w:szCs w:val="18"/>
              </w:rPr>
              <w:t xml:space="preserve">11.门系统：永磁同步门系统运行寿命不低于500万次，外壳防护等级≥IP43。</w:t>
            </w:r>
            <w:r/>
          </w:p>
        </w:tc>
        <w:tc>
          <w:tcPr>
            <w:tcW w:w="1089" w:type="dxa"/>
            <w:vAlign w:val="center"/>
            <w:textDirection w:val="lrTb"/>
            <w:noWrap/>
          </w:tcPr>
          <w:p>
            <w:pPr>
              <w:spacing w:line="360" w:lineRule="auto"/>
              <w:rPr>
                <w:rFonts w:hint="eastAsia" w:ascii="宋体" w:hAnsi="宋体"/>
                <w:sz w:val="18"/>
                <w:szCs w:val="18"/>
              </w:rPr>
            </w:pPr>
            <w:r>
              <w:rPr>
                <w:rFonts w:hint="eastAsia" w:ascii="宋体" w:hAnsi="宋体"/>
                <w:sz w:val="18"/>
                <w:szCs w:val="18"/>
              </w:rPr>
            </w:r>
            <w:r/>
          </w:p>
        </w:tc>
      </w:tr>
      <w:tr>
        <w:trPr>
          <w:jc w:val="center"/>
          <w:trHeight w:val="270"/>
        </w:trPr>
        <w:tc>
          <w:tcPr>
            <w:tcW w:w="776" w:type="dxa"/>
            <w:vAlign w:val="center"/>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8</w:t>
            </w:r>
            <w:r/>
          </w:p>
        </w:tc>
        <w:tc>
          <w:tcPr>
            <w:tcW w:w="1302" w:type="dxa"/>
            <w:vAlign w:val="center"/>
            <w:textDirection w:val="lrTb"/>
            <w:noWrap/>
          </w:tcPr>
          <w:p>
            <w:pPr>
              <w:jc w:val="center"/>
              <w:spacing w:line="360" w:lineRule="auto"/>
              <w:rPr>
                <w:rFonts w:hint="eastAsia" w:ascii="宋体" w:hAnsi="宋体" w:cs="宋体"/>
                <w:sz w:val="18"/>
                <w:szCs w:val="18"/>
              </w:rPr>
            </w:pPr>
            <w:r>
              <w:rPr>
                <w:rFonts w:hint="eastAsia" w:ascii="宋体" w:hAnsi="宋体" w:cs="宋体"/>
                <w:sz w:val="18"/>
                <w:szCs w:val="18"/>
              </w:rPr>
              <w:t xml:space="preserve">合计</w:t>
            </w:r>
            <w:r/>
          </w:p>
        </w:tc>
        <w:tc>
          <w:tcPr>
            <w:tcW w:w="945" w:type="dxa"/>
            <w:vAlign w:val="center"/>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34</w:t>
            </w:r>
            <w:r/>
          </w:p>
        </w:tc>
        <w:tc>
          <w:tcPr>
            <w:tcW w:w="4611" w:type="dxa"/>
            <w:vAlign w:val="center"/>
            <w:textDirection w:val="lrTb"/>
            <w:noWrap/>
          </w:tcPr>
          <w:p>
            <w:pPr>
              <w:spacing w:line="360" w:lineRule="auto"/>
              <w:rPr>
                <w:rFonts w:hint="eastAsia" w:ascii="宋体" w:hAnsi="宋体"/>
                <w:sz w:val="18"/>
                <w:szCs w:val="18"/>
              </w:rPr>
            </w:pPr>
            <w:r>
              <w:rPr>
                <w:rFonts w:hint="eastAsia" w:ascii="宋体" w:hAnsi="宋体"/>
                <w:sz w:val="18"/>
                <w:szCs w:val="18"/>
              </w:rPr>
            </w:r>
            <w:r/>
          </w:p>
        </w:tc>
        <w:tc>
          <w:tcPr>
            <w:tcW w:w="1089" w:type="dxa"/>
            <w:vAlign w:val="center"/>
            <w:textDirection w:val="lrTb"/>
            <w:noWrap/>
          </w:tcPr>
          <w:p>
            <w:pPr>
              <w:spacing w:line="360" w:lineRule="auto"/>
              <w:rPr>
                <w:rFonts w:hint="eastAsia" w:ascii="宋体" w:hAnsi="宋体"/>
                <w:sz w:val="18"/>
                <w:szCs w:val="18"/>
              </w:rPr>
            </w:pPr>
            <w:r>
              <w:rPr>
                <w:rFonts w:hint="eastAsia" w:ascii="宋体" w:hAnsi="宋体"/>
                <w:sz w:val="18"/>
                <w:szCs w:val="18"/>
              </w:rPr>
            </w:r>
            <w:r/>
          </w:p>
        </w:tc>
      </w:tr>
      <w:tr>
        <w:trPr>
          <w:jc w:val="center"/>
          <w:trHeight w:val="270"/>
        </w:trPr>
        <w:tc>
          <w:tcPr>
            <w:gridSpan w:val="5"/>
            <w:tcW w:w="8723" w:type="dxa"/>
            <w:vAlign w:val="center"/>
            <w:textDirection w:val="lrTb"/>
            <w:noWrap/>
          </w:tcPr>
          <w:p>
            <w:pPr>
              <w:spacing w:line="360" w:lineRule="auto"/>
              <w:rPr>
                <w:rFonts w:hint="eastAsia" w:ascii="宋体" w:hAnsi="宋体"/>
                <w:sz w:val="18"/>
                <w:szCs w:val="18"/>
              </w:rPr>
            </w:pPr>
            <w:r>
              <w:rPr>
                <w:rFonts w:hint="eastAsia" w:ascii="宋体" w:hAnsi="宋体"/>
                <w:sz w:val="18"/>
                <w:szCs w:val="18"/>
              </w:rPr>
              <w:t xml:space="preserve">备注：现场情况可以合理保留电梯的门套、地坎和导轨；所有电梯均为有机房电梯。</w:t>
            </w:r>
            <w:r/>
          </w:p>
        </w:tc>
      </w:tr>
    </w:tbl>
    <w:p>
      <w:pPr>
        <w:rPr>
          <w:rFonts w:hint="eastAsia" w:ascii="宋体" w:hAnsi="宋体" w:cs="宋体"/>
          <w:spacing w:val="-1"/>
          <w:sz w:val="24"/>
        </w:rPr>
      </w:pPr>
      <w:r>
        <w:rPr>
          <w:rFonts w:hint="eastAsia" w:ascii="宋体" w:hAnsi="宋体" w:cs="宋体"/>
          <w:spacing w:val="-1"/>
          <w:sz w:val="24"/>
        </w:rPr>
      </w:r>
      <w:r/>
    </w:p>
    <w:p>
      <w:pPr>
        <w:ind w:firstLine="480"/>
        <w:spacing w:line="360" w:lineRule="auto"/>
        <w:rPr>
          <w:rFonts w:hint="eastAsia" w:ascii="宋体" w:hAnsi="宋体"/>
          <w:b/>
          <w:sz w:val="24"/>
          <w:szCs w:val="24"/>
        </w:rPr>
      </w:pPr>
      <w:r>
        <w:rPr>
          <w:rFonts w:hint="eastAsia" w:ascii="宋体" w:hAnsi="宋体"/>
          <w:b/>
          <w:sz w:val="24"/>
          <w:szCs w:val="24"/>
        </w:rPr>
      </w:r>
      <w:r/>
    </w:p>
    <w:p>
      <w:pPr>
        <w:ind w:firstLine="480"/>
        <w:spacing w:line="360" w:lineRule="auto"/>
        <w:rPr>
          <w:rFonts w:hint="eastAsia" w:ascii="宋体" w:hAnsi="宋体"/>
          <w:b/>
          <w:sz w:val="24"/>
          <w:szCs w:val="24"/>
        </w:rPr>
      </w:pPr>
      <w:r>
        <w:rPr>
          <w:rFonts w:hint="eastAsia" w:ascii="宋体" w:hAnsi="宋体"/>
          <w:b/>
          <w:sz w:val="24"/>
          <w:szCs w:val="24"/>
        </w:rPr>
        <w:t xml:space="preserve">三 、商务部分</w:t>
      </w:r>
      <w:r/>
    </w:p>
    <w:p>
      <w:pPr>
        <w:numPr>
          <w:ilvl w:val="255"/>
          <w:numId w:val="0"/>
        </w:numPr>
        <w:ind w:firstLine="476"/>
        <w:spacing w:line="360" w:lineRule="auto"/>
        <w:rPr>
          <w:rFonts w:hint="eastAsia" w:ascii="宋体" w:hAnsi="宋体" w:cs="宋体"/>
          <w:b/>
          <w:bCs/>
          <w:spacing w:val="-1"/>
          <w:sz w:val="24"/>
        </w:rPr>
      </w:pPr>
      <w:r>
        <w:rPr>
          <w:rFonts w:hint="eastAsia" w:ascii="宋体" w:hAnsi="宋体" w:cs="宋体"/>
          <w:b/>
          <w:bCs/>
          <w:spacing w:val="-1"/>
          <w:sz w:val="24"/>
        </w:rPr>
        <w:t xml:space="preserve">1、设备要求</w:t>
      </w:r>
      <w:r/>
    </w:p>
    <w:tbl>
      <w:tblPr>
        <w:tblStyle w:val="1031"/>
        <w:tblW w:w="90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5"/>
        <w:gridCol w:w="8080"/>
      </w:tblGrid>
      <w:tr>
        <w:trPr>
          <w:jc w:val="center"/>
          <w:trHeight w:val="454"/>
        </w:trPr>
        <w:tc>
          <w:tcPr>
            <w:tcW w:w="955" w:type="dxa"/>
            <w:vAlign w:val="center"/>
            <w:textDirection w:val="lrTb"/>
            <w:noWrap w:val="false"/>
          </w:tcPr>
          <w:p>
            <w:pPr>
              <w:jc w:val="cente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一</w:t>
            </w:r>
            <w:r/>
          </w:p>
        </w:tc>
        <w:tc>
          <w:tcPr>
            <w:tcW w:w="8080" w:type="dxa"/>
            <w:vAlign w:val="center"/>
            <w:textDirection w:val="lrTb"/>
            <w:noWrap w:val="false"/>
          </w:tcPr>
          <w:p>
            <w:pP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提供的设备应能符合下列但不仅限于以下的环境条件要求</w:t>
            </w:r>
            <w:r/>
          </w:p>
        </w:tc>
      </w:tr>
      <w:tr>
        <w:trPr>
          <w:jc w:val="center"/>
          <w:trHeight w:val="454"/>
        </w:trPr>
        <w:tc>
          <w:tcPr>
            <w:tcW w:w="955" w:type="dxa"/>
            <w:vAlign w:val="center"/>
            <w:textDirection w:val="lrTb"/>
            <w:noWrap w:val="false"/>
          </w:tcPr>
          <w:p>
            <w:pPr>
              <w:jc w:val="cente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8080" w:type="dxa"/>
            <w:vAlign w:val="center"/>
            <w:textDirection w:val="lrTb"/>
            <w:noWrap w:val="false"/>
          </w:tcPr>
          <w:p>
            <w:pP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室外环境温度： -10℃～45℃</w:t>
            </w:r>
            <w:r/>
          </w:p>
        </w:tc>
      </w:tr>
      <w:tr>
        <w:trPr>
          <w:jc w:val="center"/>
          <w:trHeight w:val="454"/>
        </w:trPr>
        <w:tc>
          <w:tcPr>
            <w:tcW w:w="955" w:type="dxa"/>
            <w:vAlign w:val="center"/>
            <w:textDirection w:val="lrTb"/>
            <w:noWrap w:val="false"/>
          </w:tcPr>
          <w:p>
            <w:pPr>
              <w:jc w:val="cente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2</w:t>
            </w:r>
            <w:r/>
          </w:p>
        </w:tc>
        <w:tc>
          <w:tcPr>
            <w:tcW w:w="8080" w:type="dxa"/>
            <w:vAlign w:val="center"/>
            <w:textDirection w:val="lrTb"/>
            <w:noWrap w:val="false"/>
          </w:tcPr>
          <w:p>
            <w:pP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电压：380V，三相五线，50Hz；220V，二相二线，50Hz</w:t>
            </w:r>
            <w:r/>
          </w:p>
        </w:tc>
      </w:tr>
      <w:tr>
        <w:trPr>
          <w:jc w:val="center"/>
          <w:trHeight w:val="454"/>
        </w:trPr>
        <w:tc>
          <w:tcPr>
            <w:tcW w:w="955" w:type="dxa"/>
            <w:vAlign w:val="center"/>
            <w:textDirection w:val="lrTb"/>
            <w:noWrap w:val="false"/>
          </w:tcPr>
          <w:p>
            <w:pPr>
              <w:jc w:val="cente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3</w:t>
            </w:r>
            <w:r/>
          </w:p>
        </w:tc>
        <w:tc>
          <w:tcPr>
            <w:tcW w:w="8080" w:type="dxa"/>
            <w:vAlign w:val="center"/>
            <w:textDirection w:val="lrTb"/>
            <w:noWrap w:val="false"/>
          </w:tcPr>
          <w:p>
            <w:pPr>
              <w:spacing w:line="40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电压波动： -7%～+7%</w:t>
            </w:r>
            <w:r/>
          </w:p>
        </w:tc>
      </w:tr>
      <w:tr>
        <w:trPr>
          <w:jc w:val="center"/>
          <w:trHeight w:val="454"/>
        </w:trPr>
        <w:tc>
          <w:tcPr>
            <w:tcW w:w="955" w:type="dxa"/>
            <w:vAlign w:val="center"/>
            <w:textDirection w:val="lrTb"/>
            <w:noWrap w:val="false"/>
          </w:tcPr>
          <w:p>
            <w:pPr>
              <w:jc w:val="cente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5</w:t>
            </w:r>
            <w:r/>
          </w:p>
        </w:tc>
        <w:tc>
          <w:tcPr>
            <w:tcW w:w="8080" w:type="dxa"/>
            <w:vAlign w:val="center"/>
            <w:textDirection w:val="lrTb"/>
            <w:noWrap w:val="false"/>
          </w:tcPr>
          <w:p>
            <w:pPr>
              <w:spacing w:line="40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接地电阻要求：≤4 欧姆</w:t>
            </w:r>
            <w:r/>
          </w:p>
        </w:tc>
      </w:tr>
      <w:tr>
        <w:trPr>
          <w:jc w:val="center"/>
          <w:trHeight w:val="454"/>
        </w:trPr>
        <w:tc>
          <w:tcPr>
            <w:tcW w:w="955" w:type="dxa"/>
            <w:vAlign w:val="center"/>
            <w:textDirection w:val="lrTb"/>
            <w:noWrap w:val="false"/>
          </w:tcPr>
          <w:p>
            <w:pPr>
              <w:jc w:val="cente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二</w:t>
            </w:r>
            <w:r/>
          </w:p>
        </w:tc>
        <w:tc>
          <w:tcPr>
            <w:tcW w:w="8080" w:type="dxa"/>
            <w:vAlign w:val="center"/>
            <w:textDirection w:val="lrTb"/>
            <w:noWrap w:val="false"/>
          </w:tcPr>
          <w:p>
            <w:pPr>
              <w:spacing w:line="40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客梯装潢配置要求</w:t>
            </w:r>
            <w:r/>
          </w:p>
        </w:tc>
      </w:tr>
      <w:tr>
        <w:trPr>
          <w:jc w:val="center"/>
          <w:trHeight w:val="454"/>
        </w:trPr>
        <w:tc>
          <w:tcPr>
            <w:tcW w:w="955" w:type="dxa"/>
            <w:vAlign w:val="center"/>
            <w:textDirection w:val="lrTb"/>
            <w:noWrap w:val="false"/>
          </w:tcPr>
          <w:p>
            <w:pPr>
              <w:jc w:val="cente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8080" w:type="dxa"/>
            <w:vAlign w:val="center"/>
            <w:textDirection w:val="lrTb"/>
            <w:noWrap w:val="false"/>
          </w:tcPr>
          <w:p>
            <w:pPr>
              <w:spacing w:line="40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轿壁、轿门：轿壁、轿门均采用发纹不锈钢</w:t>
            </w:r>
            <w:r/>
          </w:p>
        </w:tc>
      </w:tr>
      <w:tr>
        <w:trPr>
          <w:jc w:val="center"/>
          <w:trHeight w:val="365"/>
        </w:trPr>
        <w:tc>
          <w:tcPr>
            <w:tcW w:w="955" w:type="dxa"/>
            <w:vAlign w:val="center"/>
            <w:textDirection w:val="lrTb"/>
            <w:noWrap w:val="false"/>
          </w:tcPr>
          <w:p>
            <w:pPr>
              <w:ind w:firstLine="360"/>
              <w:jc w:val="left"/>
              <w:spacing w:line="40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2</w:t>
            </w:r>
            <w:r/>
          </w:p>
        </w:tc>
        <w:tc>
          <w:tcPr>
            <w:tcW w:w="8080" w:type="dxa"/>
            <w:vAlign w:val="center"/>
            <w:textDirection w:val="lrTb"/>
            <w:noWrap w:val="false"/>
          </w:tcPr>
          <w:p>
            <w:pPr>
              <w:spacing w:line="40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厅门、小门套：采用发纹不锈钢</w:t>
            </w:r>
            <w:r/>
          </w:p>
        </w:tc>
      </w:tr>
      <w:tr>
        <w:trPr>
          <w:jc w:val="center"/>
          <w:trHeight w:val="454"/>
        </w:trPr>
        <w:tc>
          <w:tcPr>
            <w:tcW w:w="955" w:type="dxa"/>
            <w:vAlign w:val="center"/>
            <w:textDirection w:val="lrTb"/>
            <w:noWrap w:val="false"/>
          </w:tcPr>
          <w:p>
            <w:pPr>
              <w:jc w:val="cente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3</w:t>
            </w:r>
            <w:r/>
          </w:p>
        </w:tc>
        <w:tc>
          <w:tcPr>
            <w:tcW w:w="8080" w:type="dxa"/>
            <w:vAlign w:val="center"/>
            <w:textDirection w:val="lrTb"/>
            <w:noWrap w:val="false"/>
          </w:tcPr>
          <w:p>
            <w:pPr>
              <w:spacing w:line="40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操纵箱：电梯外侧及轿内指令按钮要求为不锈钢按钮，按钮指示一体型，轿厢内及厅门口显示器为段码LED显示</w:t>
            </w:r>
            <w:r/>
          </w:p>
        </w:tc>
      </w:tr>
      <w:tr>
        <w:trPr>
          <w:jc w:val="center"/>
          <w:trHeight w:val="454"/>
        </w:trPr>
        <w:tc>
          <w:tcPr>
            <w:tcW w:w="955" w:type="dxa"/>
            <w:vAlign w:val="center"/>
            <w:textDirection w:val="lrTb"/>
            <w:noWrap w:val="false"/>
          </w:tcPr>
          <w:p>
            <w:pPr>
              <w:jc w:val="cente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4</w:t>
            </w:r>
            <w:r/>
          </w:p>
        </w:tc>
        <w:tc>
          <w:tcPr>
            <w:tcW w:w="8080" w:type="dxa"/>
            <w:vAlign w:val="center"/>
            <w:textDirection w:val="lrTb"/>
            <w:noWrap w:val="false"/>
          </w:tcPr>
          <w:p>
            <w:pPr>
              <w:spacing w:line="40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厅外召梯盒：不锈钢面板、按钮指示一体型、段码LED显示</w:t>
            </w:r>
            <w:r/>
          </w:p>
        </w:tc>
      </w:tr>
      <w:tr>
        <w:trPr>
          <w:jc w:val="center"/>
          <w:trHeight w:val="454"/>
        </w:trPr>
        <w:tc>
          <w:tcPr>
            <w:tcW w:w="955" w:type="dxa"/>
            <w:vAlign w:val="center"/>
            <w:textDirection w:val="lrTb"/>
            <w:noWrap w:val="false"/>
          </w:tcPr>
          <w:p>
            <w:pPr>
              <w:jc w:val="cente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5</w:t>
            </w:r>
            <w:r/>
          </w:p>
        </w:tc>
        <w:tc>
          <w:tcPr>
            <w:tcW w:w="8080" w:type="dxa"/>
            <w:vAlign w:val="center"/>
            <w:textDirection w:val="lrTb"/>
            <w:noWrap w:val="false"/>
          </w:tcPr>
          <w:p>
            <w:pPr>
              <w:spacing w:line="40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门地坎、护脚板：层门和轿门的地坎、轿厢护脚板应当采用金属材料</w:t>
            </w:r>
            <w:r/>
          </w:p>
        </w:tc>
      </w:tr>
      <w:tr>
        <w:trPr>
          <w:jc w:val="center"/>
          <w:trHeight w:val="454"/>
        </w:trPr>
        <w:tc>
          <w:tcPr>
            <w:tcW w:w="955" w:type="dxa"/>
            <w:vAlign w:val="center"/>
            <w:textDirection w:val="lrTb"/>
            <w:noWrap w:val="false"/>
          </w:tcPr>
          <w:p>
            <w:pPr>
              <w:jc w:val="cente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6</w:t>
            </w:r>
            <w:r/>
          </w:p>
        </w:tc>
        <w:tc>
          <w:tcPr>
            <w:tcW w:w="8080" w:type="dxa"/>
            <w:vAlign w:val="center"/>
            <w:textDirection w:val="lrTb"/>
            <w:noWrap w:val="false"/>
          </w:tcPr>
          <w:p>
            <w:pPr>
              <w:spacing w:line="400" w:lineRule="exact"/>
              <w:rPr>
                <w:rFonts w:hint="eastAsia" w:ascii="宋体" w:hAnsi="宋体" w:cs="宋体"/>
                <w:color w:val="000000"/>
                <w:sz w:val="18"/>
                <w:szCs w:val="18"/>
              </w:rPr>
            </w:pPr>
            <w:r>
              <w:rPr>
                <w:rFonts w:hint="eastAsia" w:ascii="宋体" w:hAnsi="宋体" w:cs="宋体"/>
                <w:sz w:val="18"/>
                <w:szCs w:val="18"/>
              </w:rPr>
              <w:t xml:space="preserve">轿顶：高效节能LED照明，标准顶</w:t>
            </w:r>
            <w:r/>
          </w:p>
        </w:tc>
      </w:tr>
      <w:tr>
        <w:trPr>
          <w:jc w:val="center"/>
          <w:trHeight w:val="454"/>
        </w:trPr>
        <w:tc>
          <w:tcPr>
            <w:tcW w:w="955" w:type="dxa"/>
            <w:vAlign w:val="center"/>
            <w:textDirection w:val="lrTb"/>
            <w:noWrap w:val="false"/>
          </w:tcPr>
          <w:p>
            <w:pPr>
              <w:jc w:val="cente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7</w:t>
            </w:r>
            <w:r/>
          </w:p>
        </w:tc>
        <w:tc>
          <w:tcPr>
            <w:tcW w:w="8080" w:type="dxa"/>
            <w:vAlign w:val="center"/>
            <w:textDirection w:val="lrTb"/>
            <w:noWrap w:val="false"/>
          </w:tcPr>
          <w:p>
            <w:pPr>
              <w:spacing w:line="400" w:lineRule="exact"/>
              <w:rPr>
                <w:rFonts w:hint="eastAsia" w:ascii="宋体" w:hAnsi="宋体" w:cs="宋体"/>
                <w:color w:val="000000"/>
                <w:sz w:val="18"/>
                <w:szCs w:val="18"/>
              </w:rPr>
            </w:pPr>
            <w:r>
              <w:rPr>
                <w:rFonts w:hint="eastAsia" w:ascii="宋体" w:hAnsi="宋体" w:cs="宋体"/>
                <w:sz w:val="18"/>
                <w:szCs w:val="18"/>
              </w:rPr>
              <w:t xml:space="preserve">轿底：PVC地板</w:t>
            </w:r>
            <w:r/>
          </w:p>
        </w:tc>
      </w:tr>
      <w:tr>
        <w:trPr>
          <w:jc w:val="center"/>
          <w:trHeight w:val="454"/>
        </w:trPr>
        <w:tc>
          <w:tcPr>
            <w:tcW w:w="955" w:type="dxa"/>
            <w:vAlign w:val="center"/>
            <w:textDirection w:val="lrTb"/>
            <w:noWrap w:val="false"/>
          </w:tcPr>
          <w:p>
            <w:pPr>
              <w:jc w:val="cente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8</w:t>
            </w:r>
            <w:r/>
          </w:p>
        </w:tc>
        <w:tc>
          <w:tcPr>
            <w:tcW w:w="8080" w:type="dxa"/>
            <w:vAlign w:val="center"/>
            <w:textDirection w:val="lrTb"/>
            <w:noWrap w:val="false"/>
          </w:tcPr>
          <w:p>
            <w:pPr>
              <w:spacing w:line="400" w:lineRule="exact"/>
              <w:rPr>
                <w:rFonts w:hint="eastAsia" w:ascii="宋体" w:hAnsi="宋体" w:cs="宋体"/>
                <w:color w:val="000000"/>
                <w:sz w:val="18"/>
                <w:szCs w:val="18"/>
              </w:rPr>
            </w:pPr>
            <w:r>
              <w:rPr>
                <w:rFonts w:hint="eastAsia" w:ascii="宋体" w:hAnsi="宋体" w:cs="宋体"/>
                <w:sz w:val="18"/>
                <w:szCs w:val="18"/>
              </w:rPr>
              <w:t xml:space="preserve">面板材料：金属层门、轿门和轿壁的面板材料至少由一层公称厚度不小1.5mm的单一金属板材构成；保留的金属层门，其金属材质面板公称厚度不小于1.2mm；保留层门的下部保持装置啮合深度不小于15mm。</w:t>
            </w:r>
            <w:r/>
          </w:p>
        </w:tc>
      </w:tr>
      <w:tr>
        <w:trPr>
          <w:jc w:val="center"/>
          <w:trHeight w:val="454"/>
        </w:trPr>
        <w:tc>
          <w:tcPr>
            <w:tcW w:w="955" w:type="dxa"/>
            <w:vAlign w:val="center"/>
            <w:textDirection w:val="lrTb"/>
            <w:noWrap w:val="false"/>
          </w:tcPr>
          <w:p>
            <w:pPr>
              <w:jc w:val="cente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三</w:t>
            </w:r>
            <w:r/>
          </w:p>
        </w:tc>
        <w:tc>
          <w:tcPr>
            <w:tcW w:w="8080" w:type="dxa"/>
            <w:vAlign w:val="center"/>
            <w:textDirection w:val="lrTb"/>
            <w:noWrap w:val="false"/>
          </w:tcPr>
          <w:p>
            <w:pPr>
              <w:spacing w:line="400" w:lineRule="exact"/>
              <w:rPr>
                <w:rFonts w:hint="eastAsia" w:ascii="宋体" w:hAnsi="宋体" w:cs="宋体"/>
                <w:sz w:val="18"/>
                <w:szCs w:val="18"/>
              </w:rPr>
            </w:pPr>
            <w:r>
              <w:rPr>
                <w:rFonts w:hint="eastAsia" w:ascii="宋体" w:hAnsi="宋体" w:cs="宋体"/>
                <w:sz w:val="18"/>
                <w:szCs w:val="18"/>
              </w:rPr>
              <w:t xml:space="preserve">客梯配置</w:t>
            </w:r>
            <w:r/>
          </w:p>
        </w:tc>
      </w:tr>
      <w:tr>
        <w:trPr>
          <w:jc w:val="center"/>
          <w:trHeight w:val="454"/>
        </w:trPr>
        <w:tc>
          <w:tcPr>
            <w:tcW w:w="955" w:type="dxa"/>
            <w:vAlign w:val="center"/>
            <w:textDirection w:val="lrTb"/>
            <w:noWrap w:val="false"/>
          </w:tcPr>
          <w:p>
            <w:pPr>
              <w:jc w:val="cente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8080" w:type="dxa"/>
            <w:vAlign w:val="center"/>
            <w:textDirection w:val="lrTb"/>
            <w:noWrap w:val="false"/>
          </w:tcPr>
          <w:p>
            <w:pPr>
              <w:spacing w:line="400" w:lineRule="exact"/>
              <w:rPr>
                <w:rFonts w:hint="eastAsia" w:ascii="宋体" w:hAnsi="宋体" w:cs="宋体"/>
                <w:color w:val="000000"/>
                <w:sz w:val="18"/>
                <w:szCs w:val="18"/>
              </w:rPr>
            </w:pPr>
            <w:r>
              <w:rPr>
                <w:rFonts w:hint="eastAsia" w:ascii="宋体" w:hAnsi="宋体" w:cs="宋体"/>
                <w:spacing w:val="-7"/>
                <w:sz w:val="18"/>
                <w:szCs w:val="18"/>
              </w:rPr>
              <w:t xml:space="preserve">曳引机系统：</w:t>
            </w:r>
            <w:r>
              <w:rPr>
                <w:rFonts w:hint="eastAsia" w:ascii="宋体" w:hAnsi="宋体" w:cs="宋体"/>
                <w:sz w:val="18"/>
                <w:szCs w:val="18"/>
              </w:rPr>
              <w:t xml:space="preserve">原厂原品牌</w:t>
            </w:r>
            <w:r>
              <w:rPr>
                <w:rFonts w:hint="eastAsia" w:ascii="宋体" w:hAnsi="宋体" w:cs="宋体"/>
                <w:spacing w:val="-7"/>
                <w:sz w:val="18"/>
                <w:szCs w:val="18"/>
              </w:rPr>
              <w:t xml:space="preserve">永磁同步无齿轮曳引机</w:t>
            </w:r>
            <w:r>
              <w:rPr>
                <w:rFonts w:hint="eastAsia" w:ascii="宋体" w:hAnsi="宋体" w:cs="宋体"/>
                <w:sz w:val="18"/>
                <w:szCs w:val="18"/>
              </w:rPr>
              <w:t xml:space="preserve">，</w:t>
            </w:r>
            <w:r>
              <w:rPr>
                <w:rFonts w:hint="eastAsia" w:ascii="宋体" w:hAnsi="宋体" w:cs="宋体"/>
                <w:spacing w:val="-7"/>
                <w:sz w:val="18"/>
                <w:szCs w:val="18"/>
              </w:rPr>
              <w:t xml:space="preserve">符合国家标准，要求先进技术；</w:t>
            </w:r>
            <w:r/>
          </w:p>
        </w:tc>
      </w:tr>
      <w:tr>
        <w:trPr>
          <w:jc w:val="center"/>
          <w:trHeight w:val="454"/>
        </w:trPr>
        <w:tc>
          <w:tcPr>
            <w:tcW w:w="955" w:type="dxa"/>
            <w:vAlign w:val="center"/>
            <w:textDirection w:val="lrTb"/>
            <w:noWrap w:val="false"/>
          </w:tcPr>
          <w:p>
            <w:pPr>
              <w:jc w:val="cente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2</w:t>
            </w:r>
            <w:r/>
          </w:p>
        </w:tc>
        <w:tc>
          <w:tcPr>
            <w:tcW w:w="8080" w:type="dxa"/>
            <w:vAlign w:val="center"/>
            <w:textDirection w:val="lrTb"/>
            <w:noWrap w:val="false"/>
          </w:tcPr>
          <w:p>
            <w:pPr>
              <w:spacing w:line="400" w:lineRule="exact"/>
              <w:rPr>
                <w:rFonts w:hint="eastAsia" w:ascii="宋体" w:hAnsi="宋体" w:cs="宋体"/>
                <w:sz w:val="18"/>
                <w:szCs w:val="18"/>
              </w:rPr>
            </w:pPr>
            <w:r>
              <w:rPr>
                <w:rFonts w:hint="eastAsia" w:ascii="宋体" w:hAnsi="宋体" w:cs="宋体"/>
                <w:spacing w:val="-7"/>
                <w:sz w:val="18"/>
                <w:szCs w:val="18"/>
              </w:rPr>
              <w:t xml:space="preserve">控制系统：</w:t>
            </w:r>
            <w:r>
              <w:rPr>
                <w:rFonts w:hint="eastAsia" w:ascii="宋体" w:hAnsi="宋体" w:cs="宋体"/>
                <w:sz w:val="18"/>
                <w:szCs w:val="18"/>
              </w:rPr>
              <w:t xml:space="preserve">原厂原品牌电梯控制柜、调速器、控制器；</w:t>
            </w:r>
            <w:r/>
          </w:p>
        </w:tc>
      </w:tr>
      <w:tr>
        <w:trPr>
          <w:jc w:val="center"/>
          <w:trHeight w:val="454"/>
        </w:trPr>
        <w:tc>
          <w:tcPr>
            <w:tcW w:w="955" w:type="dxa"/>
            <w:vAlign w:val="center"/>
            <w:textDirection w:val="lrTb"/>
            <w:noWrap w:val="false"/>
          </w:tcPr>
          <w:p>
            <w:pPr>
              <w:jc w:val="cente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3</w:t>
            </w:r>
            <w:r/>
          </w:p>
        </w:tc>
        <w:tc>
          <w:tcPr>
            <w:tcW w:w="8080" w:type="dxa"/>
            <w:vAlign w:val="center"/>
            <w:textDirection w:val="lrTb"/>
            <w:noWrap w:val="false"/>
          </w:tcPr>
          <w:p>
            <w:pPr>
              <w:spacing w:line="360" w:lineRule="auto"/>
              <w:rPr>
                <w:rFonts w:hint="eastAsia" w:ascii="宋体" w:hAnsi="宋体" w:cs="宋体"/>
                <w:color w:val="000000"/>
                <w:sz w:val="18"/>
                <w:szCs w:val="18"/>
              </w:rPr>
            </w:pPr>
            <w:r>
              <w:rPr>
                <w:rFonts w:hint="eastAsia" w:ascii="宋体" w:hAnsi="宋体" w:cs="宋体"/>
                <w:spacing w:val="-7"/>
                <w:sz w:val="18"/>
                <w:szCs w:val="18"/>
              </w:rPr>
              <w:t xml:space="preserve">门系统：</w:t>
            </w:r>
            <w:r>
              <w:rPr>
                <w:rFonts w:hint="eastAsia" w:ascii="宋体" w:hAnsi="宋体" w:cs="宋体"/>
                <w:sz w:val="18"/>
                <w:szCs w:val="18"/>
              </w:rPr>
              <w:t xml:space="preserve">原厂原品牌永磁同步门系统；</w:t>
            </w:r>
            <w:r>
              <w:rPr>
                <w:rFonts w:hint="eastAsia" w:ascii="宋体" w:hAnsi="宋体" w:cs="宋体"/>
                <w:spacing w:val="-7"/>
                <w:sz w:val="18"/>
                <w:szCs w:val="18"/>
              </w:rPr>
              <w:t xml:space="preserve">门机系统采用永磁同步门机，要求门机控制系统采取先进技术；</w:t>
            </w:r>
            <w:r/>
          </w:p>
        </w:tc>
      </w:tr>
      <w:tr>
        <w:trPr>
          <w:jc w:val="center"/>
          <w:trHeight w:val="454"/>
        </w:trPr>
        <w:tc>
          <w:tcPr>
            <w:tcW w:w="955" w:type="dxa"/>
            <w:vAlign w:val="center"/>
            <w:textDirection w:val="lrTb"/>
            <w:noWrap w:val="false"/>
          </w:tcPr>
          <w:p>
            <w:pPr>
              <w:jc w:val="cente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4</w:t>
            </w:r>
            <w:r/>
          </w:p>
        </w:tc>
        <w:tc>
          <w:tcPr>
            <w:tcW w:w="8080" w:type="dxa"/>
            <w:vAlign w:val="center"/>
            <w:textDirection w:val="lrTb"/>
            <w:noWrap w:val="false"/>
          </w:tcPr>
          <w:p>
            <w:pPr>
              <w:spacing w:line="400" w:lineRule="exact"/>
              <w:rPr>
                <w:rFonts w:hint="eastAsia" w:ascii="宋体" w:hAnsi="宋体" w:cs="宋体"/>
                <w:color w:val="000000"/>
                <w:sz w:val="18"/>
                <w:szCs w:val="18"/>
              </w:rPr>
            </w:pPr>
            <w:r>
              <w:rPr>
                <w:rFonts w:hint="eastAsia" w:ascii="宋体" w:hAnsi="宋体" w:cs="宋体"/>
                <w:spacing w:val="-7"/>
                <w:sz w:val="18"/>
                <w:szCs w:val="18"/>
              </w:rPr>
              <w:t xml:space="preserve">操纵召唤系统：电梯外召及轿内指令按钮要求为触摸式微动型不锈钢按钮，按钮指示一体型，轿厢内及厅门口显示器为液晶显示（显示楼层位置及运行方向指示）；</w:t>
            </w:r>
            <w:r/>
          </w:p>
        </w:tc>
      </w:tr>
      <w:tr>
        <w:trPr>
          <w:jc w:val="center"/>
          <w:trHeight w:val="454"/>
        </w:trPr>
        <w:tc>
          <w:tcPr>
            <w:tcW w:w="955" w:type="dxa"/>
            <w:vAlign w:val="center"/>
            <w:textDirection w:val="lrTb"/>
            <w:noWrap w:val="false"/>
          </w:tcPr>
          <w:p>
            <w:pPr>
              <w:jc w:val="cente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5</w:t>
            </w:r>
            <w:r/>
          </w:p>
        </w:tc>
        <w:tc>
          <w:tcPr>
            <w:tcW w:w="8080" w:type="dxa"/>
            <w:vAlign w:val="center"/>
            <w:textDirection w:val="lrTb"/>
            <w:noWrap w:val="false"/>
          </w:tcPr>
          <w:p>
            <w:pPr>
              <w:spacing w:line="40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安全系统：安全钳、限速器、缓冲器等安全部件符合国家标准，要求先进技术，配置安全钳的更新导轨及其连接板应当符合GB/T22562（含表2至表10）的要求，其中对于额定载重量大于630kg的电梯，其轿厢侧导轨宽度b1应当不小于89mm；对重块和轿厢配重不得使用非金属材质；缓冲器不得使用非金属材质非线性蓄能型缓冲器；</w:t>
            </w:r>
            <w:r/>
          </w:p>
        </w:tc>
      </w:tr>
      <w:tr>
        <w:trPr>
          <w:jc w:val="center"/>
          <w:trHeight w:val="454"/>
        </w:trPr>
        <w:tc>
          <w:tcPr>
            <w:tcW w:w="955" w:type="dxa"/>
            <w:vAlign w:val="center"/>
            <w:textDirection w:val="lrTb"/>
            <w:noWrap w:val="false"/>
          </w:tcPr>
          <w:p>
            <w:pPr>
              <w:jc w:val="cente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6</w:t>
            </w:r>
            <w:r/>
          </w:p>
        </w:tc>
        <w:tc>
          <w:tcPr>
            <w:tcW w:w="8080" w:type="dxa"/>
            <w:vAlign w:val="center"/>
            <w:textDirection w:val="lrTb"/>
            <w:noWrap w:val="false"/>
          </w:tcPr>
          <w:p>
            <w:pPr>
              <w:spacing w:line="40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悬挂系统：</w:t>
            </w:r>
            <w:r/>
          </w:p>
          <w:p>
            <w:pPr>
              <w:spacing w:line="40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（1）在正常使用条件下，悬挂钢丝绳使用年限不少于10年或者对应电梯驱动主机启动次数不少于200万次；包覆带使用年限不少于20年或者对应电梯驱动主机启动次数不少于400万次；</w:t>
            </w:r>
            <w:r/>
          </w:p>
          <w:p>
            <w:pPr>
              <w:spacing w:line="40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（2）采用包覆带作为悬挂装置的，应当在控制柜内永久性张贴包括防止水、砂尘和润滑油等介质影响包覆带曳引能力的日常检查和维护保养要求的标识；</w:t>
            </w:r>
            <w:r/>
          </w:p>
          <w:p>
            <w:pPr>
              <w:spacing w:line="40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（3）对于采用非1:1悬挂比的电梯，当悬挂装置通过反绳轮与轿厢或者对重连接时，反绳轮及其固定部分应当设置防止轿厢或者对重与悬挂装置脱离或者反绳轮坠落的防护装置（需在相应位置设置指示标志）；</w:t>
            </w:r>
            <w:r/>
          </w:p>
          <w:p>
            <w:pPr>
              <w:spacing w:line="40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（4）反绳轮应当采用金属材质；</w:t>
            </w:r>
            <w:r/>
          </w:p>
        </w:tc>
      </w:tr>
      <w:tr>
        <w:trPr>
          <w:jc w:val="center"/>
          <w:trHeight w:val="454"/>
        </w:trPr>
        <w:tc>
          <w:tcPr>
            <w:tcW w:w="955" w:type="dxa"/>
            <w:vAlign w:val="center"/>
            <w:textDirection w:val="lrTb"/>
            <w:noWrap w:val="false"/>
          </w:tcPr>
          <w:p>
            <w:pPr>
              <w:jc w:val="cente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7</w:t>
            </w:r>
            <w:r/>
          </w:p>
        </w:tc>
        <w:tc>
          <w:tcPr>
            <w:tcW w:w="8080" w:type="dxa"/>
            <w:vAlign w:val="center"/>
            <w:textDirection w:val="lrTb"/>
            <w:noWrap w:val="false"/>
          </w:tcPr>
          <w:p>
            <w:pPr>
              <w:spacing w:line="400" w:lineRule="exact"/>
              <w:rPr>
                <w:rFonts w:hint="eastAsia" w:ascii="宋体" w:hAnsi="宋体" w:cs="宋体"/>
                <w:sz w:val="18"/>
                <w:szCs w:val="18"/>
              </w:rPr>
            </w:pPr>
            <w:r>
              <w:rPr>
                <w:rFonts w:hint="eastAsia" w:ascii="宋体" w:hAnsi="宋体" w:cs="宋体"/>
                <w:sz w:val="18"/>
                <w:szCs w:val="18"/>
              </w:rPr>
              <w:t xml:space="preserve">其他部件：符合国家标准；</w:t>
            </w:r>
            <w:r/>
          </w:p>
          <w:p>
            <w:pPr>
              <w:spacing w:line="400" w:lineRule="exact"/>
              <w:rPr>
                <w:rFonts w:hint="eastAsia" w:ascii="宋体" w:hAnsi="宋体" w:cs="宋体"/>
                <w:sz w:val="18"/>
                <w:szCs w:val="18"/>
              </w:rPr>
            </w:pPr>
            <w:r>
              <w:rPr>
                <w:rFonts w:hint="eastAsia" w:ascii="宋体" w:hAnsi="宋体" w:cs="宋体"/>
                <w:sz w:val="18"/>
                <w:szCs w:val="18"/>
              </w:rPr>
              <w:t xml:space="preserve">使用寿命：符合国家标准。</w:t>
            </w:r>
            <w:r/>
          </w:p>
          <w:p>
            <w:pPr>
              <w:spacing w:line="400" w:lineRule="exact"/>
              <w:rPr>
                <w:rFonts w:hint="eastAsia" w:ascii="宋体" w:hAnsi="宋体" w:cs="宋体"/>
                <w:sz w:val="18"/>
                <w:szCs w:val="18"/>
              </w:rPr>
            </w:pPr>
            <w:r>
              <w:rPr>
                <w:rFonts w:hint="eastAsia" w:ascii="宋体" w:hAnsi="宋体" w:cs="宋体"/>
                <w:sz w:val="18"/>
                <w:szCs w:val="18"/>
              </w:rPr>
              <w:t xml:space="preserve">其他要求：要求达到国家标准（市场监管总局办公厅关于进一步做好住宅老旧电梯更新有关工作的通知（市监特社发〔2025〕52号）</w:t>
            </w:r>
            <w:r/>
          </w:p>
        </w:tc>
      </w:tr>
      <w:tr>
        <w:trPr>
          <w:jc w:val="center"/>
          <w:trHeight w:val="454"/>
        </w:trPr>
        <w:tc>
          <w:tcPr>
            <w:tcW w:w="955" w:type="dxa"/>
            <w:vAlign w:val="center"/>
            <w:textDirection w:val="lrTb"/>
            <w:noWrap w:val="false"/>
          </w:tcPr>
          <w:p>
            <w:pPr>
              <w:jc w:val="cente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四</w:t>
            </w:r>
            <w:r/>
          </w:p>
        </w:tc>
        <w:tc>
          <w:tcPr>
            <w:tcW w:w="8080" w:type="dxa"/>
            <w:vAlign w:val="center"/>
            <w:textDirection w:val="lrTb"/>
            <w:noWrap w:val="false"/>
          </w:tcPr>
          <w:p>
            <w:pPr>
              <w:spacing w:line="400" w:lineRule="exact"/>
              <w:rPr>
                <w:rFonts w:hint="eastAsia" w:ascii="宋体" w:hAnsi="宋体" w:cs="宋体"/>
                <w:sz w:val="18"/>
                <w:szCs w:val="18"/>
              </w:rPr>
            </w:pPr>
            <w:r>
              <w:rPr>
                <w:rFonts w:hint="eastAsia" w:ascii="宋体" w:hAnsi="宋体" w:cs="宋体"/>
                <w:sz w:val="18"/>
                <w:szCs w:val="18"/>
              </w:rPr>
              <w:t xml:space="preserve">超载运行试验</w:t>
            </w:r>
            <w:r/>
          </w:p>
        </w:tc>
      </w:tr>
      <w:tr>
        <w:trPr>
          <w:jc w:val="center"/>
          <w:trHeight w:val="454"/>
        </w:trPr>
        <w:tc>
          <w:tcPr>
            <w:tcW w:w="955" w:type="dxa"/>
            <w:vAlign w:val="center"/>
            <w:textDirection w:val="lrTb"/>
            <w:noWrap w:val="false"/>
          </w:tcPr>
          <w:p>
            <w:pPr>
              <w:jc w:val="cente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8080" w:type="dxa"/>
            <w:vAlign w:val="center"/>
            <w:textDirection w:val="lrTb"/>
            <w:noWrap w:val="false"/>
          </w:tcPr>
          <w:p>
            <w:pPr>
              <w:spacing w:line="400" w:lineRule="exact"/>
              <w:rPr>
                <w:rFonts w:hint="eastAsia" w:ascii="宋体" w:hAnsi="宋体" w:cs="宋体"/>
                <w:color w:val="000000"/>
                <w:sz w:val="18"/>
                <w:szCs w:val="18"/>
              </w:rPr>
            </w:pPr>
            <w:r>
              <w:rPr>
                <w:rFonts w:hint="eastAsia" w:ascii="宋体" w:hAnsi="宋体" w:cs="宋体"/>
                <w:sz w:val="18"/>
                <w:szCs w:val="18"/>
              </w:rPr>
              <w:t xml:space="preserve">轿厢内装载 110％额定载重量的载荷，进行启动、全程运行、停止和正常开关门连续周期正常不停顿运行 60 次，检查电梯是否无故障发生</w:t>
            </w:r>
            <w:r/>
          </w:p>
        </w:tc>
      </w:tr>
      <w:tr>
        <w:trPr>
          <w:jc w:val="center"/>
          <w:trHeight w:val="454"/>
        </w:trPr>
        <w:tc>
          <w:tcPr>
            <w:tcW w:w="955" w:type="dxa"/>
            <w:vAlign w:val="center"/>
            <w:textDirection w:val="lrTb"/>
            <w:noWrap w:val="false"/>
          </w:tcPr>
          <w:p>
            <w:pPr>
              <w:jc w:val="cente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五</w:t>
            </w:r>
            <w:r/>
          </w:p>
        </w:tc>
        <w:tc>
          <w:tcPr>
            <w:tcW w:w="8080" w:type="dxa"/>
            <w:vAlign w:val="center"/>
            <w:textDirection w:val="lrTb"/>
            <w:noWrap w:val="false"/>
          </w:tcPr>
          <w:p>
            <w:pP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标准功能：</w:t>
            </w:r>
            <w:r/>
          </w:p>
          <w:p>
            <w:pPr>
              <w:spacing w:line="400" w:lineRule="exact"/>
              <w:rPr>
                <w:rFonts w:hint="eastAsia" w:ascii="宋体" w:hAnsi="宋体" w:cs="宋体"/>
                <w:color w:val="000000"/>
                <w:sz w:val="18"/>
                <w:szCs w:val="18"/>
              </w:rPr>
            </w:pPr>
            <w:r>
              <w:rPr>
                <w:rFonts w:hint="eastAsia" w:ascii="宋体" w:hAnsi="宋体" w:cs="宋体"/>
                <w:color w:val="000000"/>
                <w:sz w:val="18"/>
                <w:szCs w:val="18"/>
              </w:rPr>
              <w:t xml:space="preserve">超速电气保护功能、对讲机通讯功能、故障低速自救运行功能、停电应急照明功能、开门时间自动调整功能、抗电磁干扰功能、轿内照明自动控制功能、超载报警功能、电动机过热保护功能、警铃报警功能</w:t>
            </w:r>
            <w:r>
              <w:rPr>
                <w:rFonts w:ascii="宋体" w:hAnsi="宋体" w:cs="宋体"/>
                <w:color w:val="000000"/>
                <w:sz w:val="18"/>
                <w:szCs w:val="18"/>
              </w:rPr>
              <w:tab/>
            </w:r>
            <w:r>
              <w:rPr>
                <w:rFonts w:hint="eastAsia" w:ascii="宋体" w:hAnsi="宋体" w:cs="宋体"/>
                <w:color w:val="000000"/>
                <w:sz w:val="18"/>
                <w:szCs w:val="18"/>
              </w:rPr>
              <w:t xml:space="preserve">无效内指令自动消除功能、开门时间自动控制功能、消防迫降功能：1层、厅外检修显示功能、同步电机磁极码自学习功能、轿内通风自动控制功能、电动车识阻功能、电动机过载保护功能、目的层按钮闪亮功能、轿内超载指示功能、故障自动检测功能、厅轿门旁路检测功能、泊梯功能：1层</w:t>
            </w:r>
            <w:r>
              <w:rPr>
                <w:rFonts w:ascii="宋体" w:hAnsi="宋体" w:cs="宋体"/>
                <w:color w:val="000000"/>
                <w:sz w:val="18"/>
                <w:szCs w:val="18"/>
              </w:rPr>
              <w:tab/>
            </w:r>
            <w:r>
              <w:rPr>
                <w:rFonts w:hint="eastAsia" w:ascii="宋体" w:hAnsi="宋体" w:cs="宋体"/>
                <w:color w:val="000000"/>
                <w:sz w:val="18"/>
                <w:szCs w:val="18"/>
              </w:rPr>
              <w:t xml:space="preserve">轿顶检修操作功能、开门异常自动选层功能、满载直驶运行功能、层高自测定功能、轿内慢速运行功能、超速机械保护功能、电动机空转保护功能、抱闸动作双安全检测功能、开关门时间超常保护功能、智能辅助制动功能、运行次数显示功能、反向内指令自动消除功能、</w:t>
            </w:r>
            <w:r>
              <w:rPr>
                <w:rFonts w:ascii="宋体" w:hAnsi="宋体" w:cs="宋体"/>
                <w:color w:val="000000"/>
                <w:sz w:val="18"/>
                <w:szCs w:val="18"/>
              </w:rPr>
              <w:tab/>
            </w:r>
            <w:r>
              <w:rPr>
                <w:rFonts w:hint="eastAsia" w:ascii="宋体" w:hAnsi="宋体" w:cs="宋体"/>
                <w:color w:val="000000"/>
                <w:sz w:val="18"/>
                <w:szCs w:val="18"/>
              </w:rPr>
              <w:t xml:space="preserve">超载保护功能、门停止运行功能、集选控制：全集选控制运行功能、门过载保护功能、待机定期自检功能、故障自动存储功能、位置异常自动校正功能、底坑对讲机通讯功能、关门按钮灯点亮、停车在非门区报警功能、电梯服务支援系统、机房调试操作功能、启动补偿功能、门保护装置、数字接口（预留视频电缆）、</w:t>
            </w:r>
            <w:r>
              <w:rPr>
                <w:rFonts w:ascii="宋体" w:hAnsi="宋体" w:cs="宋体"/>
                <w:color w:val="000000"/>
                <w:sz w:val="18"/>
                <w:szCs w:val="18"/>
              </w:rPr>
              <w:tab/>
            </w:r>
            <w:r>
              <w:rPr>
                <w:rFonts w:hint="eastAsia" w:ascii="宋体" w:hAnsi="宋体" w:cs="宋体"/>
                <w:color w:val="000000"/>
                <w:sz w:val="18"/>
                <w:szCs w:val="18"/>
              </w:rPr>
              <w:t xml:space="preserve">无线五方通话（4G网络）、智能光幕保护功能。</w:t>
            </w:r>
            <w:r/>
          </w:p>
        </w:tc>
      </w:tr>
    </w:tbl>
    <w:p>
      <w:pPr>
        <w:numPr>
          <w:ilvl w:val="255"/>
          <w:numId w:val="0"/>
        </w:numPr>
        <w:ind w:firstLine="476"/>
        <w:spacing w:line="360" w:lineRule="auto"/>
        <w:rPr>
          <w:rFonts w:hint="eastAsia" w:ascii="宋体" w:hAnsi="宋体" w:cs="宋体"/>
          <w:b/>
          <w:bCs/>
          <w:spacing w:val="-1"/>
          <w:sz w:val="24"/>
        </w:rPr>
      </w:pPr>
      <w:r>
        <w:rPr>
          <w:rFonts w:hint="eastAsia" w:ascii="宋体" w:hAnsi="宋体" w:cs="宋体"/>
          <w:b/>
          <w:bCs/>
          <w:spacing w:val="-1"/>
          <w:sz w:val="24"/>
        </w:rPr>
      </w:r>
      <w:r/>
    </w:p>
    <w:p>
      <w:pPr>
        <w:numPr>
          <w:ilvl w:val="255"/>
          <w:numId w:val="0"/>
        </w:numPr>
        <w:ind w:firstLine="476"/>
        <w:spacing w:line="360" w:lineRule="auto"/>
        <w:rPr>
          <w:rFonts w:hint="eastAsia" w:ascii="宋体" w:hAnsi="宋体" w:cs="宋体"/>
          <w:spacing w:val="-1"/>
          <w:sz w:val="24"/>
        </w:rPr>
      </w:pPr>
      <w:r>
        <w:rPr>
          <w:rFonts w:hint="eastAsia" w:ascii="宋体" w:hAnsi="宋体" w:cs="宋体"/>
          <w:spacing w:val="-1"/>
          <w:sz w:val="24"/>
        </w:rPr>
        <w:t xml:space="preserve">2、投标人须满足技术要求，具体电梯尺寸（包括井道尺寸、冲顶高度、提升高度、开门尺寸及基坑深度等）需中标方现场复核测量尺寸方可进行安装设计，电梯轿厢尺寸、载重及速度等与采购人确认后由厂家深化设计，相关费用考虑在报价内。</w:t>
      </w:r>
      <w:r/>
    </w:p>
    <w:p>
      <w:pPr>
        <w:ind w:firstLine="468"/>
        <w:spacing w:line="360" w:lineRule="auto"/>
        <w:rPr>
          <w:rFonts w:hint="eastAsia" w:ascii="宋体" w:hAnsi="宋体" w:cs="宋体"/>
          <w:b/>
          <w:bCs/>
          <w:spacing w:val="-3"/>
          <w:sz w:val="24"/>
        </w:rPr>
        <w:outlineLvl w:val="0"/>
      </w:pPr>
      <w:r>
        <w:rPr>
          <w:rFonts w:hint="eastAsia" w:ascii="宋体" w:hAnsi="宋体" w:cs="宋体"/>
          <w:b/>
          <w:bCs/>
          <w:spacing w:val="-3"/>
          <w:sz w:val="24"/>
        </w:rPr>
        <w:t xml:space="preserve">3、投标供应商资格和能力</w:t>
      </w:r>
      <w:r/>
    </w:p>
    <w:p>
      <w:pPr>
        <w:ind w:firstLine="463"/>
        <w:spacing w:line="360" w:lineRule="auto"/>
        <w:rPr>
          <w:rFonts w:hint="eastAsia" w:ascii="宋体" w:hAnsi="宋体" w:cs="宋体"/>
          <w:sz w:val="24"/>
        </w:rPr>
      </w:pPr>
      <w:r>
        <w:rPr>
          <w:rFonts w:hint="eastAsia" w:ascii="宋体" w:hAnsi="宋体" w:cs="宋体"/>
          <w:spacing w:val="-16"/>
          <w:sz w:val="24"/>
        </w:rPr>
        <w:t xml:space="preserve">投标</w:t>
      </w:r>
      <w:r>
        <w:rPr>
          <w:rFonts w:hint="eastAsia" w:ascii="宋体" w:hAnsi="宋体" w:cs="宋体"/>
          <w:spacing w:val="-13"/>
          <w:sz w:val="24"/>
        </w:rPr>
        <w:t xml:space="preserve">供应商</w:t>
      </w:r>
      <w:r>
        <w:rPr>
          <w:rFonts w:hint="eastAsia" w:ascii="宋体" w:hAnsi="宋体" w:cs="宋体"/>
          <w:spacing w:val="-8"/>
          <w:sz w:val="24"/>
        </w:rPr>
        <w:t xml:space="preserve">须有能力为项目提供服务（包括维保），并提供相关承诺及服务计划，安装及维护</w:t>
      </w:r>
      <w:r>
        <w:rPr>
          <w:rFonts w:hint="eastAsia" w:ascii="宋体" w:hAnsi="宋体" w:cs="宋体"/>
          <w:spacing w:val="-6"/>
          <w:sz w:val="24"/>
        </w:rPr>
        <w:t xml:space="preserve">的专业队</w:t>
      </w:r>
      <w:r>
        <w:rPr>
          <w:rFonts w:hint="eastAsia" w:ascii="宋体" w:hAnsi="宋体" w:cs="宋体"/>
          <w:spacing w:val="-3"/>
          <w:sz w:val="24"/>
        </w:rPr>
        <w:t xml:space="preserve">伍必须具有相应资质认证。</w:t>
      </w:r>
      <w:r/>
    </w:p>
    <w:p>
      <w:pPr>
        <w:ind w:firstLine="466"/>
        <w:spacing w:line="360" w:lineRule="auto"/>
        <w:rPr>
          <w:rFonts w:hint="eastAsia" w:ascii="宋体" w:hAnsi="宋体" w:cs="宋体"/>
          <w:b/>
          <w:bCs/>
          <w:sz w:val="24"/>
        </w:rPr>
        <w:outlineLvl w:val="1"/>
      </w:pPr>
      <w:r>
        <w:rPr>
          <w:rFonts w:hint="eastAsia" w:ascii="宋体" w:hAnsi="宋体" w:cs="宋体"/>
          <w:spacing w:val="-1"/>
          <w:sz w:val="24"/>
        </w:rPr>
        <w:t xml:space="preserve">4、</w:t>
      </w:r>
      <w:r>
        <w:rPr>
          <w:rFonts w:hint="eastAsia" w:ascii="宋体" w:hAnsi="宋体" w:cs="宋体"/>
          <w:b/>
          <w:bCs/>
          <w:spacing w:val="-3"/>
          <w:sz w:val="24"/>
        </w:rPr>
        <w:t xml:space="preserve">标准和规范</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《电梯、自动扶梯、自动人行道术语》                 GB/T7024</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《电梯主要参数及轿厢、井道、机房的型式与尺寸》      GB/T7025</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《低压成套开关设备和控制设备》                     GB/T7251</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《电梯制造与安装安全规范》                         GB7588</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《电梯安装验收规范》                              GB10060</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《电梯技术条件》                                  GB/T10058</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《电梯试验方法》                                  GB/T10059</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《建筑物的电气装置电击防护》                       GB/T14821.1</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《电气装置安装工程电梯电气装置施工及验收规范》      GB50182</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《电梯工程施工质量验收规范》                       GB50310    </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《电梯制造与安装安全规范》Q/Q/YSDT 002-2022</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江苏省消防部门的条例及相关的中国国家消防规范</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电力供应部门的供电规章条例</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国家现行其他规范、标准。</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以上规范、标准若与最新规范、标准相冲突的以最新规范、标准为准。</w:t>
      </w:r>
      <w:r/>
    </w:p>
    <w:p>
      <w:pPr>
        <w:ind w:firstLine="474"/>
        <w:spacing w:line="360" w:lineRule="auto"/>
        <w:rPr>
          <w:rFonts w:hint="eastAsia" w:ascii="宋体" w:hAnsi="宋体" w:cs="宋体"/>
          <w:b/>
          <w:bCs/>
          <w:sz w:val="24"/>
        </w:rPr>
        <w:outlineLvl w:val="1"/>
      </w:pPr>
      <w:r>
        <w:rPr>
          <w:rFonts w:hint="eastAsia" w:ascii="宋体" w:hAnsi="宋体" w:cs="宋体"/>
          <w:b/>
          <w:bCs/>
          <w:spacing w:val="-2"/>
          <w:sz w:val="24"/>
        </w:rPr>
        <w:t xml:space="preserve">5、制造监制和出厂检验</w:t>
      </w:r>
      <w:r/>
    </w:p>
    <w:p>
      <w:pPr>
        <w:ind w:firstLine="476"/>
        <w:spacing w:line="360" w:lineRule="auto"/>
        <w:rPr>
          <w:rFonts w:hint="eastAsia" w:ascii="宋体" w:hAnsi="宋体" w:cs="宋体"/>
          <w:sz w:val="24"/>
        </w:rPr>
      </w:pPr>
      <w:r>
        <w:rPr>
          <w:rFonts w:hint="eastAsia" w:ascii="宋体" w:hAnsi="宋体" w:cs="宋体"/>
          <w:spacing w:val="-1"/>
          <w:sz w:val="24"/>
        </w:rPr>
        <w:t xml:space="preserve">在设备制造期间，采购</w:t>
      </w:r>
      <w:r>
        <w:rPr>
          <w:rFonts w:hint="eastAsia" w:ascii="宋体" w:hAnsi="宋体" w:cs="宋体"/>
          <w:sz w:val="24"/>
        </w:rPr>
        <w:t xml:space="preserve">人有权在适当的时间到制造厂进行制造监制，在制造监制期</w:t>
      </w:r>
      <w:r>
        <w:rPr>
          <w:rFonts w:hint="eastAsia" w:ascii="宋体" w:hAnsi="宋体" w:cs="宋体"/>
          <w:spacing w:val="-9"/>
          <w:sz w:val="24"/>
        </w:rPr>
        <w:t xml:space="preserve">间</w:t>
      </w:r>
      <w:r>
        <w:rPr>
          <w:rFonts w:hint="eastAsia" w:ascii="宋体" w:hAnsi="宋体" w:cs="宋体"/>
          <w:spacing w:val="-8"/>
          <w:sz w:val="24"/>
        </w:rPr>
        <w:t xml:space="preserve">，制造商有责任提供有关设备包括各种数据，设备结构图和部件图的详细中文资料。但采购</w:t>
      </w:r>
      <w:r>
        <w:rPr>
          <w:rFonts w:hint="eastAsia" w:ascii="宋体" w:hAnsi="宋体" w:cs="宋体"/>
          <w:spacing w:val="-2"/>
          <w:sz w:val="24"/>
        </w:rPr>
        <w:t xml:space="preserve">人监制并不解除制造商对所有产品在</w:t>
      </w:r>
      <w:r>
        <w:rPr>
          <w:rFonts w:hint="eastAsia" w:ascii="宋体" w:hAnsi="宋体" w:cs="宋体"/>
          <w:spacing w:val="-1"/>
          <w:sz w:val="24"/>
        </w:rPr>
        <w:t xml:space="preserve">制造质量上应负的全部责任。</w:t>
      </w:r>
      <w:r/>
    </w:p>
    <w:p>
      <w:pPr>
        <w:ind w:firstLine="474"/>
        <w:spacing w:line="360" w:lineRule="auto"/>
        <w:rPr>
          <w:rFonts w:hint="eastAsia" w:ascii="宋体" w:hAnsi="宋体" w:cs="宋体"/>
          <w:b/>
          <w:bCs/>
          <w:sz w:val="24"/>
        </w:rPr>
        <w:outlineLvl w:val="1"/>
      </w:pPr>
      <w:r>
        <w:rPr>
          <w:rFonts w:hint="eastAsia" w:ascii="宋体" w:hAnsi="宋体" w:cs="宋体"/>
          <w:b/>
          <w:bCs/>
          <w:spacing w:val="-2"/>
          <w:sz w:val="24"/>
        </w:rPr>
        <w:t xml:space="preserve">6、设备</w:t>
      </w:r>
      <w:r>
        <w:rPr>
          <w:rFonts w:hint="eastAsia" w:ascii="宋体" w:hAnsi="宋体" w:cs="宋体"/>
          <w:b/>
          <w:bCs/>
          <w:spacing w:val="-1"/>
          <w:sz w:val="24"/>
        </w:rPr>
        <w:t xml:space="preserve">的防护、包装及运输</w:t>
      </w:r>
      <w:r/>
    </w:p>
    <w:p>
      <w:pPr>
        <w:ind w:firstLine="476"/>
        <w:spacing w:line="360" w:lineRule="auto"/>
        <w:rPr>
          <w:rFonts w:hint="eastAsia" w:ascii="宋体" w:hAnsi="宋体" w:cs="宋体"/>
          <w:sz w:val="24"/>
        </w:rPr>
      </w:pPr>
      <w:r>
        <w:rPr>
          <w:rFonts w:hint="eastAsia" w:ascii="宋体" w:hAnsi="宋体" w:cs="宋体"/>
          <w:spacing w:val="-1"/>
          <w:sz w:val="24"/>
        </w:rPr>
        <w:t xml:space="preserve">6.1 设备</w:t>
      </w:r>
      <w:r>
        <w:rPr>
          <w:rFonts w:hint="eastAsia" w:ascii="宋体" w:hAnsi="宋体" w:cs="宋体"/>
          <w:sz w:val="24"/>
        </w:rPr>
        <w:t xml:space="preserve">的防护及油漆</w:t>
      </w:r>
      <w:r/>
    </w:p>
    <w:p>
      <w:pPr>
        <w:ind w:firstLine="476"/>
        <w:spacing w:line="360" w:lineRule="auto"/>
        <w:rPr>
          <w:rFonts w:hint="eastAsia" w:ascii="宋体" w:hAnsi="宋体" w:cs="宋体"/>
          <w:spacing w:val="-1"/>
          <w:sz w:val="24"/>
        </w:rPr>
      </w:pPr>
      <w:r>
        <w:rPr>
          <w:rFonts w:hint="eastAsia" w:ascii="宋体" w:hAnsi="宋体" w:cs="宋体"/>
          <w:spacing w:val="-1"/>
          <w:sz w:val="24"/>
        </w:rPr>
        <w:t xml:space="preserve">设备内、外表面应洁净。油漆表面应光洁，无褶皱和剥落。</w:t>
      </w:r>
      <w:r/>
    </w:p>
    <w:p>
      <w:pPr>
        <w:ind w:firstLine="476"/>
        <w:spacing w:line="360" w:lineRule="auto"/>
        <w:rPr>
          <w:rFonts w:hint="eastAsia" w:ascii="宋体" w:hAnsi="宋体" w:cs="宋体"/>
          <w:sz w:val="24"/>
        </w:rPr>
      </w:pPr>
      <w:r>
        <w:rPr>
          <w:rFonts w:hint="eastAsia" w:ascii="宋体" w:hAnsi="宋体" w:cs="宋体"/>
          <w:spacing w:val="-1"/>
          <w:sz w:val="24"/>
        </w:rPr>
        <w:t xml:space="preserve">6.2 所有设备</w:t>
      </w:r>
      <w:r>
        <w:rPr>
          <w:rFonts w:hint="eastAsia" w:ascii="宋体" w:hAnsi="宋体" w:cs="宋体"/>
          <w:sz w:val="24"/>
        </w:rPr>
        <w:t xml:space="preserve">应合理、有效包装，以使其有效防止各种损坏，如受潮、受热、剥落、腐</w:t>
      </w:r>
      <w:r>
        <w:rPr>
          <w:rFonts w:hint="eastAsia" w:ascii="宋体" w:hAnsi="宋体" w:cs="宋体"/>
          <w:spacing w:val="-7"/>
          <w:sz w:val="24"/>
        </w:rPr>
        <w:t xml:space="preserve">蚀</w:t>
      </w:r>
      <w:r>
        <w:rPr>
          <w:rFonts w:hint="eastAsia" w:ascii="宋体" w:hAnsi="宋体" w:cs="宋体"/>
          <w:spacing w:val="-6"/>
          <w:sz w:val="24"/>
        </w:rPr>
        <w:t xml:space="preserve">、变形等。</w:t>
      </w:r>
      <w:r/>
    </w:p>
    <w:p>
      <w:pPr>
        <w:ind w:firstLine="476"/>
        <w:spacing w:line="360" w:lineRule="auto"/>
        <w:rPr>
          <w:rFonts w:hint="eastAsia" w:ascii="宋体" w:hAnsi="宋体" w:cs="宋体"/>
          <w:spacing w:val="-1"/>
          <w:sz w:val="24"/>
        </w:rPr>
      </w:pPr>
      <w:r>
        <w:rPr>
          <w:rFonts w:hint="eastAsia" w:ascii="宋体" w:hAnsi="宋体" w:cs="宋体"/>
          <w:spacing w:val="-1"/>
          <w:sz w:val="24"/>
        </w:rPr>
        <w:t xml:space="preserve">6.3 对不油漆且易磨损的零件应涂上高熔点或脂肪酸或其他保护功能的油脂以得到保护，并得到妥善包装后固定。机组所有开口处应封闭保护，以防止在运输人员搬运途中异物进入。电动机、控制中心、排气装置和机组的控制器等均应加保护罩。</w:t>
      </w:r>
      <w:r/>
    </w:p>
    <w:p>
      <w:pPr>
        <w:ind w:firstLine="476"/>
        <w:spacing w:line="360" w:lineRule="auto"/>
        <w:rPr>
          <w:rFonts w:hint="eastAsia" w:ascii="宋体" w:hAnsi="宋体" w:cs="宋体"/>
          <w:sz w:val="24"/>
        </w:rPr>
      </w:pPr>
      <w:r>
        <w:rPr>
          <w:rFonts w:hint="eastAsia" w:ascii="宋体" w:hAnsi="宋体" w:cs="宋体"/>
          <w:spacing w:val="-1"/>
          <w:sz w:val="24"/>
        </w:rPr>
        <w:t xml:space="preserve">6.</w:t>
      </w:r>
      <w:r>
        <w:rPr>
          <w:rFonts w:hint="eastAsia" w:ascii="宋体" w:hAnsi="宋体" w:cs="宋体"/>
          <w:spacing w:val="-5"/>
          <w:sz w:val="24"/>
        </w:rPr>
        <w:t xml:space="preserve">4 随机的零部件、备品备件等散件应木箱包装。这些箱盒应适合于储存，储存年限应</w:t>
      </w:r>
      <w:r>
        <w:rPr>
          <w:rFonts w:hint="eastAsia" w:ascii="宋体" w:hAnsi="宋体" w:cs="宋体"/>
          <w:spacing w:val="-7"/>
          <w:sz w:val="24"/>
        </w:rPr>
        <w:t xml:space="preserve">在</w:t>
      </w:r>
      <w:r>
        <w:rPr>
          <w:rFonts w:hint="eastAsia" w:ascii="宋体" w:hAnsi="宋体" w:cs="宋体"/>
          <w:spacing w:val="-4"/>
          <w:sz w:val="24"/>
        </w:rPr>
        <w:t xml:space="preserve">包装上予以说明。</w:t>
      </w:r>
      <w:r/>
    </w:p>
    <w:p>
      <w:pPr>
        <w:ind w:firstLine="472"/>
        <w:spacing w:line="360" w:lineRule="auto"/>
        <w:rPr>
          <w:rFonts w:hint="eastAsia" w:ascii="宋体" w:hAnsi="宋体" w:cs="宋体"/>
          <w:sz w:val="24"/>
        </w:rPr>
      </w:pPr>
      <w:r>
        <w:rPr>
          <w:rFonts w:hint="eastAsia" w:ascii="宋体" w:hAnsi="宋体" w:cs="宋体"/>
          <w:spacing w:val="-2"/>
          <w:sz w:val="24"/>
        </w:rPr>
        <w:t xml:space="preserve">6.5 设</w:t>
      </w:r>
      <w:r>
        <w:rPr>
          <w:rFonts w:hint="eastAsia" w:ascii="宋体" w:hAnsi="宋体" w:cs="宋体"/>
          <w:spacing w:val="-1"/>
          <w:sz w:val="24"/>
        </w:rPr>
        <w:t xml:space="preserve">备的包装费应包括在投标总价中，这些包装材料应属于采购人所有。</w:t>
      </w:r>
      <w:r/>
    </w:p>
    <w:p>
      <w:pPr>
        <w:ind w:firstLine="472"/>
        <w:spacing w:line="360" w:lineRule="auto"/>
        <w:rPr>
          <w:rFonts w:hint="eastAsia" w:ascii="宋体" w:hAnsi="宋体" w:cs="宋体"/>
          <w:spacing w:val="-1"/>
          <w:sz w:val="24"/>
        </w:rPr>
      </w:pPr>
      <w:r>
        <w:rPr>
          <w:rFonts w:hint="eastAsia" w:ascii="宋体" w:hAnsi="宋体" w:cs="宋体"/>
          <w:spacing w:val="-2"/>
          <w:sz w:val="24"/>
        </w:rPr>
        <w:t xml:space="preserve">6.</w:t>
      </w:r>
      <w:r>
        <w:rPr>
          <w:rFonts w:hint="eastAsia" w:ascii="宋体" w:hAnsi="宋体" w:cs="宋体"/>
          <w:spacing w:val="-12"/>
          <w:sz w:val="24"/>
        </w:rPr>
        <w:t xml:space="preserve">6</w:t>
      </w:r>
      <w:r>
        <w:rPr>
          <w:rFonts w:hint="eastAsia" w:ascii="宋体" w:hAnsi="宋体" w:cs="宋体"/>
          <w:spacing w:val="-8"/>
          <w:sz w:val="24"/>
        </w:rPr>
        <w:t xml:space="preserve"> 在包装箱中，应附有产品合格证书（包括机组合格证、部件合格证、材料合格证等）、</w:t>
      </w:r>
      <w:r>
        <w:rPr>
          <w:rFonts w:hint="eastAsia" w:ascii="宋体" w:hAnsi="宋体" w:cs="宋体"/>
          <w:spacing w:val="-10"/>
          <w:sz w:val="24"/>
        </w:rPr>
        <w:t xml:space="preserve">产品</w:t>
      </w:r>
      <w:r>
        <w:rPr>
          <w:rFonts w:hint="eastAsia" w:ascii="宋体" w:hAnsi="宋体" w:cs="宋体"/>
          <w:spacing w:val="-8"/>
          <w:sz w:val="24"/>
        </w:rPr>
        <w:t xml:space="preserve">说</w:t>
      </w:r>
      <w:r>
        <w:rPr>
          <w:rFonts w:hint="eastAsia" w:ascii="宋体" w:hAnsi="宋体" w:cs="宋体"/>
          <w:spacing w:val="-5"/>
          <w:sz w:val="24"/>
        </w:rPr>
        <w:t xml:space="preserve">明书、装箱单、易损件备件及专用工具清单，一套完整的经批准的图纸及有关技术文件</w:t>
      </w:r>
      <w:r>
        <w:rPr>
          <w:rFonts w:hint="eastAsia" w:ascii="宋体" w:hAnsi="宋体" w:cs="宋体"/>
          <w:spacing w:val="-2"/>
          <w:sz w:val="24"/>
        </w:rPr>
        <w:t xml:space="preserve">资料。</w:t>
      </w:r>
      <w:r>
        <w:rPr>
          <w:rFonts w:hint="eastAsia" w:ascii="宋体" w:hAnsi="宋体" w:cs="宋体"/>
          <w:spacing w:val="-1"/>
          <w:sz w:val="24"/>
        </w:rPr>
        <w:t xml:space="preserve">包装箱外面应注明数量、设备名称、编号、起吊位置、警示标志、外形尺寸、毛重等。</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6.7  中标人应对设备的整个交货过程负责，包括运输、装卸、安装调试、装潢的安全。</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6.8  随包装箱携带的文件、资料应防潮密封，并放置在包装箱内明显处。</w:t>
      </w:r>
      <w:r/>
    </w:p>
    <w:p>
      <w:pPr>
        <w:ind w:firstLine="474"/>
        <w:spacing w:line="360" w:lineRule="auto"/>
        <w:rPr>
          <w:rFonts w:hint="eastAsia" w:ascii="宋体" w:hAnsi="宋体" w:cs="宋体"/>
          <w:b/>
          <w:bCs/>
          <w:spacing w:val="-2"/>
          <w:sz w:val="24"/>
        </w:rPr>
        <w:outlineLvl w:val="1"/>
      </w:pPr>
      <w:r>
        <w:rPr>
          <w:rFonts w:hint="eastAsia" w:ascii="宋体" w:hAnsi="宋体" w:cs="宋体"/>
          <w:b/>
          <w:bCs/>
          <w:spacing w:val="-2"/>
          <w:sz w:val="24"/>
        </w:rPr>
        <w:t xml:space="preserve">7、到货验收</w:t>
      </w:r>
      <w:r/>
    </w:p>
    <w:p>
      <w:pPr>
        <w:ind w:firstLine="472"/>
        <w:spacing w:line="360" w:lineRule="auto"/>
        <w:rPr>
          <w:rFonts w:hint="eastAsia" w:ascii="宋体" w:hAnsi="宋体" w:cs="宋体"/>
          <w:sz w:val="24"/>
        </w:rPr>
      </w:pPr>
      <w:r>
        <w:rPr>
          <w:rFonts w:hint="eastAsia" w:ascii="宋体" w:hAnsi="宋体" w:cs="宋体"/>
          <w:spacing w:val="-2"/>
          <w:sz w:val="24"/>
        </w:rPr>
        <w:t xml:space="preserve">7.1  中标人应派专员在所供设备到工地时进行到货验收。若发现任何损坏</w:t>
      </w:r>
      <w:r>
        <w:rPr>
          <w:rFonts w:hint="eastAsia" w:ascii="宋体" w:hAnsi="宋体" w:cs="宋体"/>
          <w:spacing w:val="-1"/>
          <w:sz w:val="24"/>
        </w:rPr>
        <w:t xml:space="preserve">及质量问题，</w:t>
      </w:r>
      <w:r>
        <w:rPr>
          <w:rFonts w:hint="eastAsia" w:ascii="宋体" w:hAnsi="宋体" w:cs="宋体"/>
          <w:spacing w:val="-18"/>
          <w:sz w:val="24"/>
        </w:rPr>
        <w:t xml:space="preserve">中</w:t>
      </w:r>
      <w:r>
        <w:rPr>
          <w:rFonts w:hint="eastAsia" w:ascii="宋体" w:hAnsi="宋体" w:cs="宋体"/>
          <w:spacing w:val="-16"/>
          <w:sz w:val="24"/>
        </w:rPr>
        <w:t xml:space="preserve">标</w:t>
      </w:r>
      <w:r>
        <w:rPr>
          <w:rFonts w:hint="eastAsia" w:ascii="宋体" w:hAnsi="宋体" w:cs="宋体"/>
          <w:spacing w:val="-9"/>
          <w:sz w:val="24"/>
        </w:rPr>
        <w:t xml:space="preserve">人应负责更换零件，并妥善处理直至采购人满意。此工作所发生的费用应由中标人自行承担。</w:t>
      </w:r>
      <w:r/>
    </w:p>
    <w:p>
      <w:pPr>
        <w:ind w:firstLine="476"/>
        <w:spacing w:line="360" w:lineRule="auto"/>
        <w:rPr>
          <w:rFonts w:hint="eastAsia" w:ascii="宋体" w:hAnsi="宋体" w:cs="宋体"/>
          <w:sz w:val="24"/>
        </w:rPr>
      </w:pPr>
      <w:r>
        <w:rPr>
          <w:rFonts w:hint="eastAsia" w:ascii="宋体" w:hAnsi="宋体" w:cs="宋体"/>
          <w:spacing w:val="-1"/>
          <w:sz w:val="24"/>
        </w:rPr>
        <w:t xml:space="preserve">7.2  在采购单位工地的临时存放场地由采购人负责协调落实，但</w:t>
      </w:r>
      <w:r>
        <w:rPr>
          <w:rFonts w:hint="eastAsia" w:ascii="宋体" w:hAnsi="宋体" w:cs="宋体"/>
          <w:sz w:val="24"/>
        </w:rPr>
        <w:t xml:space="preserve">中标人应负责看管。</w:t>
      </w:r>
      <w:r/>
    </w:p>
    <w:p>
      <w:pPr>
        <w:ind w:firstLine="474"/>
        <w:spacing w:line="360" w:lineRule="auto"/>
        <w:rPr>
          <w:rFonts w:hint="eastAsia" w:ascii="宋体" w:hAnsi="宋体" w:cs="宋体"/>
          <w:b/>
          <w:bCs/>
          <w:sz w:val="24"/>
        </w:rPr>
      </w:pPr>
      <w:r>
        <w:rPr>
          <w:rFonts w:hint="eastAsia" w:ascii="宋体" w:hAnsi="宋体" w:cs="宋体"/>
          <w:b/>
          <w:bCs/>
          <w:spacing w:val="-2"/>
          <w:sz w:val="24"/>
        </w:rPr>
        <w:t xml:space="preserve">8、安装管理</w:t>
      </w:r>
      <w:r/>
    </w:p>
    <w:p>
      <w:pPr>
        <w:ind w:firstLine="476"/>
        <w:spacing w:line="360" w:lineRule="auto"/>
        <w:rPr>
          <w:rFonts w:hint="eastAsia" w:ascii="宋体" w:hAnsi="宋体" w:cs="宋体"/>
          <w:sz w:val="24"/>
        </w:rPr>
      </w:pPr>
      <w:r>
        <w:rPr>
          <w:rFonts w:hint="eastAsia" w:ascii="宋体" w:hAnsi="宋体" w:cs="宋体"/>
          <w:spacing w:val="-1"/>
          <w:sz w:val="24"/>
        </w:rPr>
        <w:t xml:space="preserve">8.1  现场安装须符合国家的相关条例，服从采购人</w:t>
      </w:r>
      <w:r>
        <w:rPr>
          <w:rFonts w:hint="eastAsia" w:ascii="宋体" w:hAnsi="宋体" w:cs="宋体"/>
          <w:sz w:val="24"/>
        </w:rPr>
        <w:t xml:space="preserve">的管理及检查，中标人</w:t>
      </w:r>
      <w:r>
        <w:rPr>
          <w:rFonts w:hint="eastAsia" w:ascii="宋体" w:hAnsi="宋体" w:cs="宋体"/>
          <w:spacing w:val="-10"/>
          <w:sz w:val="24"/>
        </w:rPr>
        <w:t xml:space="preserve">须派有</w:t>
      </w:r>
      <w:r>
        <w:rPr>
          <w:rFonts w:hint="eastAsia" w:ascii="宋体" w:hAnsi="宋体" w:cs="宋体"/>
          <w:spacing w:val="-8"/>
          <w:sz w:val="24"/>
        </w:rPr>
        <w:t xml:space="preserve">五</w:t>
      </w:r>
      <w:r>
        <w:rPr>
          <w:rFonts w:hint="eastAsia" w:ascii="宋体" w:hAnsi="宋体" w:cs="宋体"/>
          <w:spacing w:val="-5"/>
          <w:sz w:val="24"/>
        </w:rPr>
        <w:t xml:space="preserve">年以上工作经验的工程师负责安装监督，并需在安装期内提交他们的工作报告。</w:t>
      </w:r>
      <w:r/>
    </w:p>
    <w:p>
      <w:pPr>
        <w:ind w:firstLine="476"/>
        <w:spacing w:line="360" w:lineRule="auto"/>
        <w:rPr>
          <w:rFonts w:hint="eastAsia" w:ascii="宋体" w:hAnsi="宋体" w:cs="宋体"/>
          <w:sz w:val="24"/>
        </w:rPr>
      </w:pPr>
      <w:r>
        <w:rPr>
          <w:rFonts w:hint="eastAsia" w:ascii="宋体" w:hAnsi="宋体" w:cs="宋体"/>
          <w:spacing w:val="-1"/>
          <w:sz w:val="24"/>
        </w:rPr>
        <w:t xml:space="preserve">8.2  如因中标人原因在安装期间出现安全事故，应由</w:t>
      </w:r>
      <w:r>
        <w:rPr>
          <w:rFonts w:hint="eastAsia" w:ascii="宋体" w:hAnsi="宋体" w:cs="宋体"/>
          <w:sz w:val="24"/>
        </w:rPr>
        <w:t xml:space="preserve">中标人承担由此而引起的全部损</w:t>
      </w:r>
      <w:r>
        <w:rPr>
          <w:rFonts w:hint="eastAsia" w:ascii="宋体" w:hAnsi="宋体" w:cs="宋体"/>
          <w:spacing w:val="-13"/>
          <w:sz w:val="24"/>
        </w:rPr>
        <w:t xml:space="preserve">失</w:t>
      </w:r>
      <w:r>
        <w:rPr>
          <w:rFonts w:hint="eastAsia" w:ascii="宋体" w:hAnsi="宋体" w:cs="宋体"/>
          <w:spacing w:val="-12"/>
          <w:sz w:val="24"/>
        </w:rPr>
        <w:t xml:space="preserve">。</w:t>
      </w:r>
      <w:r/>
    </w:p>
    <w:p>
      <w:pPr>
        <w:ind w:firstLine="460"/>
        <w:spacing w:line="360" w:lineRule="auto"/>
        <w:rPr>
          <w:rFonts w:hint="eastAsia" w:ascii="宋体" w:hAnsi="宋体" w:cs="宋体"/>
          <w:sz w:val="24"/>
        </w:rPr>
      </w:pPr>
      <w:r>
        <w:rPr>
          <w:rFonts w:hint="eastAsia" w:ascii="宋体" w:hAnsi="宋体" w:cs="宋体"/>
          <w:spacing w:val="-5"/>
          <w:sz w:val="24"/>
        </w:rPr>
        <w:t xml:space="preserve">8.3</w:t>
      </w:r>
      <w:r>
        <w:rPr>
          <w:rFonts w:hint="eastAsia" w:ascii="宋体" w:hAnsi="宋体" w:cs="宋体"/>
          <w:spacing w:val="-3"/>
          <w:sz w:val="24"/>
        </w:rPr>
        <w:t xml:space="preserve">  认可</w:t>
      </w:r>
      <w:r/>
    </w:p>
    <w:p>
      <w:pPr>
        <w:ind w:firstLine="472"/>
        <w:spacing w:line="360" w:lineRule="auto"/>
        <w:rPr>
          <w:rFonts w:hint="eastAsia" w:ascii="宋体" w:hAnsi="宋体" w:cs="宋体"/>
          <w:sz w:val="24"/>
        </w:rPr>
      </w:pPr>
      <w:r>
        <w:rPr>
          <w:rFonts w:hint="eastAsia" w:ascii="宋体" w:hAnsi="宋体" w:cs="宋体"/>
          <w:spacing w:val="-2"/>
          <w:sz w:val="24"/>
        </w:rPr>
        <w:t xml:space="preserve">设备安装须经有关部门取得</w:t>
      </w:r>
      <w:r>
        <w:rPr>
          <w:rFonts w:hint="eastAsia" w:ascii="宋体" w:hAnsi="宋体" w:cs="宋体"/>
          <w:spacing w:val="-1"/>
          <w:sz w:val="24"/>
        </w:rPr>
        <w:t xml:space="preserve">认可，中标人有责任提供相关的认可文件及证书。</w:t>
      </w:r>
      <w:r/>
    </w:p>
    <w:p>
      <w:pPr>
        <w:ind w:firstLine="472"/>
        <w:spacing w:line="360" w:lineRule="auto"/>
        <w:rPr>
          <w:rFonts w:hint="eastAsia" w:ascii="宋体" w:hAnsi="宋体" w:cs="宋体"/>
          <w:sz w:val="24"/>
        </w:rPr>
      </w:pPr>
      <w:r>
        <w:rPr>
          <w:rFonts w:hint="eastAsia" w:ascii="宋体" w:hAnsi="宋体" w:cs="宋体"/>
          <w:spacing w:val="-2"/>
          <w:sz w:val="24"/>
        </w:rPr>
        <w:t xml:space="preserve">8.4 保</w:t>
      </w:r>
      <w:r>
        <w:rPr>
          <w:rFonts w:hint="eastAsia" w:ascii="宋体" w:hAnsi="宋体" w:cs="宋体"/>
          <w:spacing w:val="-1"/>
          <w:sz w:val="24"/>
        </w:rPr>
        <w:t xml:space="preserve">证设备在起吊、运输过程中的安全</w:t>
      </w:r>
      <w:r/>
    </w:p>
    <w:p>
      <w:pPr>
        <w:ind w:firstLine="416"/>
        <w:spacing w:line="360" w:lineRule="auto"/>
        <w:rPr>
          <w:rFonts w:hint="eastAsia" w:ascii="宋体" w:hAnsi="宋体" w:cs="宋体"/>
          <w:sz w:val="24"/>
        </w:rPr>
      </w:pPr>
      <w:r>
        <w:rPr>
          <w:rFonts w:hint="eastAsia" w:ascii="宋体" w:hAnsi="宋体" w:cs="宋体"/>
          <w:spacing w:val="-16"/>
          <w:sz w:val="24"/>
        </w:rPr>
        <w:t xml:space="preserve">在</w:t>
      </w:r>
      <w:r>
        <w:rPr>
          <w:rFonts w:hint="eastAsia" w:ascii="宋体" w:hAnsi="宋体" w:cs="宋体"/>
          <w:spacing w:val="-15"/>
          <w:sz w:val="24"/>
        </w:rPr>
        <w:t xml:space="preserve">安</w:t>
      </w:r>
      <w:r>
        <w:rPr>
          <w:rFonts w:hint="eastAsia" w:ascii="宋体" w:hAnsi="宋体" w:cs="宋体"/>
          <w:spacing w:val="-8"/>
          <w:sz w:val="24"/>
        </w:rPr>
        <w:t xml:space="preserve">装期间，中标人负责安装中需要的起吊、运输所需辅助设备，所有这些设备都须符合</w:t>
      </w:r>
      <w:r>
        <w:rPr>
          <w:rFonts w:hint="eastAsia" w:ascii="宋体" w:hAnsi="宋体" w:cs="宋体"/>
          <w:spacing w:val="-6"/>
          <w:sz w:val="24"/>
        </w:rPr>
        <w:t xml:space="preserve">安全作业要求。</w:t>
      </w:r>
      <w:r/>
    </w:p>
    <w:p>
      <w:pPr>
        <w:ind w:firstLine="462"/>
        <w:spacing w:line="360" w:lineRule="auto"/>
        <w:rPr>
          <w:rFonts w:hint="eastAsia" w:ascii="宋体" w:hAnsi="宋体" w:cs="宋体"/>
          <w:b/>
          <w:bCs/>
          <w:sz w:val="24"/>
        </w:rPr>
      </w:pPr>
      <w:r>
        <w:rPr>
          <w:rFonts w:hint="eastAsia" w:ascii="宋体" w:hAnsi="宋体" w:cs="宋体"/>
          <w:b/>
          <w:bCs/>
          <w:spacing w:val="-5"/>
          <w:sz w:val="24"/>
        </w:rPr>
        <w:t xml:space="preserve">9、验收</w:t>
      </w:r>
      <w:r/>
    </w:p>
    <w:p>
      <w:pPr>
        <w:ind w:firstLine="472"/>
        <w:spacing w:line="360" w:lineRule="auto"/>
        <w:rPr>
          <w:rFonts w:hint="eastAsia" w:ascii="宋体" w:hAnsi="宋体" w:cs="宋体"/>
          <w:sz w:val="24"/>
        </w:rPr>
      </w:pPr>
      <w:r>
        <w:rPr>
          <w:rFonts w:hint="eastAsia" w:ascii="宋体" w:hAnsi="宋体" w:cs="宋体"/>
          <w:spacing w:val="-2"/>
          <w:sz w:val="24"/>
        </w:rPr>
        <w:t xml:space="preserve">9.1</w:t>
      </w:r>
      <w:r>
        <w:rPr>
          <w:rFonts w:hint="eastAsia" w:ascii="宋体" w:hAnsi="宋体" w:cs="宋体"/>
          <w:spacing w:val="-1"/>
          <w:sz w:val="24"/>
        </w:rPr>
        <w:t xml:space="preserve">  产品保护</w:t>
      </w:r>
      <w:r/>
    </w:p>
    <w:p>
      <w:pPr>
        <w:ind w:firstLine="416"/>
        <w:spacing w:line="360" w:lineRule="auto"/>
        <w:rPr>
          <w:rFonts w:hint="eastAsia" w:ascii="宋体" w:hAnsi="宋体" w:cs="宋体"/>
          <w:sz w:val="24"/>
        </w:rPr>
      </w:pPr>
      <w:r>
        <w:rPr>
          <w:rFonts w:hint="eastAsia" w:ascii="宋体" w:hAnsi="宋体" w:cs="宋体"/>
          <w:spacing w:val="-16"/>
          <w:sz w:val="24"/>
        </w:rPr>
        <w:t xml:space="preserve">工程</w:t>
      </w:r>
      <w:r>
        <w:rPr>
          <w:rFonts w:hint="eastAsia" w:ascii="宋体" w:hAnsi="宋体" w:cs="宋体"/>
          <w:spacing w:val="-11"/>
          <w:sz w:val="24"/>
        </w:rPr>
        <w:t xml:space="preserve">完</w:t>
      </w:r>
      <w:r>
        <w:rPr>
          <w:rFonts w:hint="eastAsia" w:ascii="宋体" w:hAnsi="宋体" w:cs="宋体"/>
          <w:spacing w:val="-8"/>
          <w:sz w:val="24"/>
        </w:rPr>
        <w:t xml:space="preserve">成后，中标人须负责全部设备的保护和清洁工作，直至设备验收合格并正常运行</w:t>
      </w:r>
      <w:r>
        <w:rPr>
          <w:rFonts w:hint="eastAsia" w:ascii="宋体" w:hAnsi="宋体" w:cs="宋体"/>
          <w:spacing w:val="-2"/>
          <w:sz w:val="24"/>
        </w:rPr>
        <w:t xml:space="preserve">为止。在安装过程</w:t>
      </w:r>
      <w:r>
        <w:rPr>
          <w:rFonts w:hint="eastAsia" w:ascii="宋体" w:hAnsi="宋体" w:cs="宋体"/>
          <w:spacing w:val="-1"/>
          <w:sz w:val="24"/>
        </w:rPr>
        <w:t xml:space="preserve">中，如建筑结构或其他设备被损坏中标人将有责任修理或赔偿损失。</w:t>
      </w:r>
      <w:r/>
    </w:p>
    <w:p>
      <w:pPr>
        <w:ind w:firstLine="472"/>
        <w:spacing w:line="360" w:lineRule="auto"/>
        <w:rPr>
          <w:rFonts w:hint="eastAsia" w:ascii="宋体" w:hAnsi="宋体" w:cs="宋体"/>
          <w:sz w:val="24"/>
        </w:rPr>
      </w:pPr>
      <w:r>
        <w:rPr>
          <w:rFonts w:hint="eastAsia" w:ascii="宋体" w:hAnsi="宋体" w:cs="宋体"/>
          <w:spacing w:val="-2"/>
          <w:sz w:val="24"/>
        </w:rPr>
        <w:t xml:space="preserve">9.</w:t>
      </w:r>
      <w:r>
        <w:rPr>
          <w:rFonts w:hint="eastAsia" w:ascii="宋体" w:hAnsi="宋体" w:cs="宋体"/>
          <w:spacing w:val="-1"/>
          <w:sz w:val="24"/>
        </w:rPr>
        <w:t xml:space="preserve">2  验收合格条件</w:t>
      </w:r>
      <w:r/>
    </w:p>
    <w:p>
      <w:pPr>
        <w:ind w:firstLine="472"/>
        <w:spacing w:line="360" w:lineRule="auto"/>
        <w:rPr>
          <w:rFonts w:hint="eastAsia" w:ascii="宋体" w:hAnsi="宋体" w:cs="宋体"/>
          <w:sz w:val="24"/>
        </w:rPr>
      </w:pPr>
      <w:r>
        <w:rPr>
          <w:rFonts w:hint="eastAsia" w:ascii="宋体" w:hAnsi="宋体" w:cs="宋体"/>
          <w:spacing w:val="-2"/>
          <w:sz w:val="24"/>
        </w:rPr>
        <w:t xml:space="preserve">9.2.1 运行结果符合产品标准和技术规</w:t>
      </w:r>
      <w:r>
        <w:rPr>
          <w:rFonts w:hint="eastAsia" w:ascii="宋体" w:hAnsi="宋体" w:cs="宋体"/>
          <w:spacing w:val="-1"/>
          <w:sz w:val="24"/>
        </w:rPr>
        <w:t xml:space="preserve">格书及合同要求。</w:t>
      </w:r>
      <w:r/>
    </w:p>
    <w:p>
      <w:pPr>
        <w:ind w:firstLine="472"/>
        <w:spacing w:line="360" w:lineRule="auto"/>
        <w:rPr>
          <w:rFonts w:hint="eastAsia" w:ascii="宋体" w:hAnsi="宋体" w:cs="宋体"/>
          <w:sz w:val="24"/>
        </w:rPr>
      </w:pPr>
      <w:r>
        <w:rPr>
          <w:rFonts w:hint="eastAsia" w:ascii="宋体" w:hAnsi="宋体" w:cs="宋体"/>
          <w:spacing w:val="-2"/>
          <w:sz w:val="24"/>
        </w:rPr>
        <w:t xml:space="preserve">9.2.2 在进行测</w:t>
      </w:r>
      <w:r>
        <w:rPr>
          <w:rFonts w:hint="eastAsia" w:ascii="宋体" w:hAnsi="宋体" w:cs="宋体"/>
          <w:spacing w:val="-1"/>
          <w:sz w:val="24"/>
        </w:rPr>
        <w:t xml:space="preserve">试和验收运行过程中发生的故障已被消除并得到采购人的认可。</w:t>
      </w:r>
      <w:r/>
    </w:p>
    <w:p>
      <w:pPr>
        <w:ind w:firstLine="472"/>
        <w:spacing w:line="360" w:lineRule="auto"/>
        <w:rPr>
          <w:rFonts w:hint="eastAsia" w:ascii="宋体" w:hAnsi="宋体" w:cs="宋体"/>
          <w:sz w:val="24"/>
        </w:rPr>
      </w:pPr>
      <w:r>
        <w:rPr>
          <w:rFonts w:hint="eastAsia" w:ascii="宋体" w:hAnsi="宋体" w:cs="宋体"/>
          <w:spacing w:val="-2"/>
          <w:sz w:val="24"/>
        </w:rPr>
        <w:t xml:space="preserve">9.2.3 所有合同中规定的货物和材料都已提交</w:t>
      </w:r>
      <w:r>
        <w:rPr>
          <w:rFonts w:hint="eastAsia" w:ascii="宋体" w:hAnsi="宋体" w:cs="宋体"/>
          <w:spacing w:val="-1"/>
          <w:sz w:val="24"/>
        </w:rPr>
        <w:t xml:space="preserve">。</w:t>
      </w:r>
      <w:r/>
    </w:p>
    <w:p>
      <w:pPr>
        <w:ind w:firstLine="476"/>
        <w:spacing w:line="360" w:lineRule="auto"/>
        <w:rPr>
          <w:rFonts w:hint="eastAsia" w:ascii="宋体" w:hAnsi="宋体" w:cs="宋体"/>
          <w:sz w:val="24"/>
        </w:rPr>
      </w:pPr>
      <w:r>
        <w:rPr>
          <w:rFonts w:hint="eastAsia" w:ascii="宋体" w:hAnsi="宋体" w:cs="宋体"/>
          <w:spacing w:val="-1"/>
          <w:sz w:val="24"/>
        </w:rPr>
        <w:t xml:space="preserve">9.2.4 设备在交由采购人使</w:t>
      </w:r>
      <w:r>
        <w:rPr>
          <w:rFonts w:hint="eastAsia" w:ascii="宋体" w:hAnsi="宋体" w:cs="宋体"/>
          <w:sz w:val="24"/>
        </w:rPr>
        <w:t xml:space="preserve">用之前已通过质量技术监督管理部门的验收，并得到使用证</w:t>
      </w:r>
      <w:r>
        <w:rPr>
          <w:rFonts w:hint="eastAsia" w:ascii="宋体" w:hAnsi="宋体" w:cs="宋体"/>
          <w:spacing w:val="-13"/>
          <w:sz w:val="24"/>
        </w:rPr>
        <w:t xml:space="preserve">书</w:t>
      </w:r>
      <w:r>
        <w:rPr>
          <w:rFonts w:hint="eastAsia" w:ascii="宋体" w:hAnsi="宋体" w:cs="宋体"/>
          <w:spacing w:val="-12"/>
          <w:sz w:val="24"/>
        </w:rPr>
        <w:t xml:space="preserve">。</w:t>
      </w:r>
      <w:r/>
    </w:p>
    <w:p>
      <w:pPr>
        <w:ind w:firstLine="422"/>
        <w:spacing w:line="360" w:lineRule="auto"/>
        <w:rPr>
          <w:rFonts w:hint="eastAsia" w:ascii="宋体" w:hAnsi="宋体" w:cs="宋体"/>
          <w:b/>
          <w:bCs/>
          <w:sz w:val="24"/>
        </w:rPr>
      </w:pPr>
      <w:r>
        <w:rPr>
          <w:rFonts w:hint="eastAsia" w:ascii="宋体" w:hAnsi="宋体" w:cs="宋体"/>
          <w:b/>
          <w:bCs/>
          <w:spacing w:val="-15"/>
          <w:sz w:val="24"/>
        </w:rPr>
        <w:t xml:space="preserve">10、售后服务</w:t>
      </w:r>
      <w:r/>
    </w:p>
    <w:p>
      <w:pPr>
        <w:ind w:firstLine="472"/>
        <w:spacing w:line="360" w:lineRule="auto"/>
        <w:rPr>
          <w:rFonts w:hint="eastAsia" w:ascii="宋体" w:hAnsi="宋体" w:cs="宋体"/>
          <w:sz w:val="24"/>
        </w:rPr>
      </w:pPr>
      <w:r>
        <w:rPr>
          <w:rFonts w:hint="eastAsia" w:ascii="宋体" w:hAnsi="宋体" w:cs="宋体"/>
          <w:spacing w:val="-2"/>
          <w:sz w:val="24"/>
        </w:rPr>
        <w:t xml:space="preserve">工程实施过程中，</w:t>
      </w:r>
      <w:r>
        <w:rPr>
          <w:rFonts w:hint="eastAsia" w:ascii="宋体" w:hAnsi="宋体" w:cs="宋体"/>
          <w:spacing w:val="-1"/>
          <w:sz w:val="24"/>
        </w:rPr>
        <w:t xml:space="preserve">投标单位按照投标文件承诺，提供完备的服务体系及配套的管理制度、</w:t>
      </w:r>
      <w:r>
        <w:rPr>
          <w:rFonts w:hint="eastAsia" w:ascii="宋体" w:hAnsi="宋体" w:cs="宋体"/>
          <w:spacing w:val="-2"/>
          <w:sz w:val="24"/>
        </w:rPr>
        <w:t xml:space="preserve">技术力量配备</w:t>
      </w:r>
      <w:r>
        <w:rPr>
          <w:rFonts w:hint="eastAsia" w:ascii="宋体" w:hAnsi="宋体" w:cs="宋体"/>
          <w:spacing w:val="-1"/>
          <w:sz w:val="24"/>
        </w:rPr>
        <w:t xml:space="preserve">等。</w:t>
      </w:r>
      <w:r/>
    </w:p>
    <w:p>
      <w:pPr>
        <w:ind w:firstLine="480"/>
        <w:spacing w:line="360" w:lineRule="auto"/>
        <w:rPr>
          <w:rFonts w:hint="eastAsia" w:ascii="宋体" w:hAnsi="宋体" w:cs="宋体"/>
          <w:spacing w:val="-2"/>
          <w:sz w:val="24"/>
        </w:rPr>
      </w:pPr>
      <w:r>
        <w:rPr>
          <w:rFonts w:hint="eastAsia" w:ascii="宋体" w:hAnsi="宋体" w:cs="宋体"/>
          <w:sz w:val="24"/>
        </w:rPr>
        <w:t xml:space="preserve">售后服务响应：</w:t>
      </w:r>
      <w:r>
        <w:rPr>
          <w:rFonts w:hint="eastAsia" w:ascii="宋体" w:hAnsi="宋体" w:cs="宋体"/>
          <w:spacing w:val="-2"/>
          <w:sz w:val="24"/>
        </w:rPr>
        <w:t xml:space="preserve">如电梯发生重大零配件需要更换，原则上中标人须在24小时内提供配件并及时更换。中标人可以处理所有的维修服务，且需提供24小时服务，维修人员需在接到维修电话后按照投标文件中承诺的时间赶到现场，提供不间断的服务直到结束。</w:t>
      </w:r>
      <w:r/>
    </w:p>
    <w:p>
      <w:pPr>
        <w:ind w:firstLine="476"/>
        <w:spacing w:line="360" w:lineRule="auto"/>
        <w:rPr>
          <w:rFonts w:hint="eastAsia" w:ascii="宋体" w:hAnsi="宋体" w:cs="宋体"/>
          <w:sz w:val="24"/>
        </w:rPr>
      </w:pPr>
      <w:r>
        <w:rPr>
          <w:rFonts w:hint="eastAsia" w:ascii="宋体" w:hAnsi="宋体" w:cs="宋体"/>
          <w:spacing w:val="-1"/>
          <w:sz w:val="24"/>
        </w:rPr>
        <w:t xml:space="preserve">中标人</w:t>
      </w:r>
      <w:r>
        <w:rPr>
          <w:rFonts w:hint="eastAsia" w:ascii="宋体" w:hAnsi="宋体" w:cs="宋体"/>
          <w:sz w:val="24"/>
        </w:rPr>
        <w:t xml:space="preserve">须对合同中规定的整套电梯设备提供投标文件承诺的缺陷责任期的免费维</w:t>
      </w:r>
      <w:r>
        <w:rPr>
          <w:rFonts w:hint="eastAsia" w:ascii="宋体" w:hAnsi="宋体" w:cs="宋体"/>
          <w:spacing w:val="-10"/>
          <w:sz w:val="24"/>
        </w:rPr>
        <w:t xml:space="preserve">修和</w:t>
      </w:r>
      <w:r>
        <w:rPr>
          <w:rFonts w:hint="eastAsia" w:ascii="宋体" w:hAnsi="宋体" w:cs="宋体"/>
          <w:spacing w:val="-8"/>
          <w:sz w:val="24"/>
        </w:rPr>
        <w:t xml:space="preserve">保</w:t>
      </w:r>
      <w:r>
        <w:rPr>
          <w:rFonts w:hint="eastAsia" w:ascii="宋体" w:hAnsi="宋体" w:cs="宋体"/>
          <w:spacing w:val="-5"/>
          <w:sz w:val="24"/>
        </w:rPr>
        <w:t xml:space="preserve">养，时间以通过政府部门验收合格之日算起。</w:t>
      </w:r>
      <w:r/>
    </w:p>
    <w:p>
      <w:pPr>
        <w:ind w:firstLine="460"/>
        <w:spacing w:line="360" w:lineRule="auto"/>
        <w:rPr>
          <w:rFonts w:hint="eastAsia" w:ascii="宋体" w:hAnsi="宋体" w:cs="宋体"/>
          <w:sz w:val="24"/>
        </w:rPr>
      </w:pPr>
      <w:r>
        <w:rPr>
          <w:rFonts w:hint="eastAsia" w:ascii="宋体" w:hAnsi="宋体" w:cs="宋体"/>
          <w:spacing w:val="-5"/>
          <w:sz w:val="24"/>
        </w:rPr>
        <w:t xml:space="preserve">在质保期内的工作应包括对所有电梯常规检查、调整和润滑。</w:t>
      </w:r>
      <w:r/>
    </w:p>
    <w:p>
      <w:pPr>
        <w:ind w:firstLine="460"/>
        <w:spacing w:line="360" w:lineRule="auto"/>
        <w:rPr>
          <w:rFonts w:hint="eastAsia" w:ascii="宋体" w:hAnsi="宋体" w:cs="宋体"/>
          <w:sz w:val="24"/>
        </w:rPr>
      </w:pPr>
      <w:r>
        <w:rPr>
          <w:rFonts w:hint="eastAsia" w:ascii="宋体" w:hAnsi="宋体" w:cs="宋体"/>
          <w:spacing w:val="-5"/>
          <w:sz w:val="24"/>
        </w:rPr>
        <w:t xml:space="preserve">在质保期内中标人须自行付费，负责修理和替换任何由于设备自身的质量问题造</w:t>
      </w:r>
      <w:r>
        <w:rPr>
          <w:rFonts w:hint="eastAsia" w:ascii="宋体" w:hAnsi="宋体" w:cs="宋体"/>
          <w:spacing w:val="-6"/>
          <w:sz w:val="24"/>
        </w:rPr>
        <w:t xml:space="preserve">成</w:t>
      </w:r>
      <w:r>
        <w:rPr>
          <w:rFonts w:hint="eastAsia" w:ascii="宋体" w:hAnsi="宋体" w:cs="宋体"/>
          <w:spacing w:val="-5"/>
          <w:sz w:val="24"/>
        </w:rPr>
        <w:t xml:space="preserve">的损坏及故障。</w:t>
      </w:r>
      <w:r/>
    </w:p>
    <w:p>
      <w:pPr>
        <w:ind w:firstLine="448"/>
        <w:spacing w:line="360" w:lineRule="auto"/>
        <w:rPr>
          <w:rFonts w:hint="eastAsia" w:ascii="宋体" w:hAnsi="宋体" w:cs="宋体"/>
          <w:sz w:val="24"/>
        </w:rPr>
      </w:pPr>
      <w:r>
        <w:rPr>
          <w:rFonts w:hint="eastAsia" w:ascii="宋体" w:hAnsi="宋体" w:cs="宋体"/>
          <w:spacing w:val="-8"/>
          <w:sz w:val="24"/>
        </w:rPr>
        <w:t xml:space="preserve">在保修结束时，须由专业工程师对电梯进行另一次测试，任何故障须由中标人自</w:t>
      </w:r>
      <w:r>
        <w:rPr>
          <w:rFonts w:hint="eastAsia" w:ascii="宋体" w:hAnsi="宋体" w:cs="宋体"/>
          <w:spacing w:val="-1"/>
          <w:sz w:val="24"/>
        </w:rPr>
        <w:t xml:space="preserve">费</w:t>
      </w:r>
      <w:r>
        <w:rPr>
          <w:rFonts w:hint="eastAsia" w:ascii="宋体" w:hAnsi="宋体" w:cs="宋体"/>
          <w:spacing w:val="-6"/>
          <w:sz w:val="24"/>
        </w:rPr>
        <w:t xml:space="preserve">解</w:t>
      </w:r>
      <w:r>
        <w:rPr>
          <w:rFonts w:hint="eastAsia" w:ascii="宋体" w:hAnsi="宋体" w:cs="宋体"/>
          <w:spacing w:val="-4"/>
          <w:sz w:val="24"/>
        </w:rPr>
        <w:t xml:space="preserve">决</w:t>
      </w:r>
      <w:r>
        <w:rPr>
          <w:rFonts w:hint="eastAsia" w:ascii="宋体" w:hAnsi="宋体" w:cs="宋体"/>
          <w:spacing w:val="-3"/>
          <w:sz w:val="24"/>
        </w:rPr>
        <w:t xml:space="preserve">并取得采购人的同意。</w:t>
      </w:r>
      <w:r/>
    </w:p>
    <w:p>
      <w:pPr>
        <w:ind w:firstLine="432"/>
        <w:spacing w:line="360" w:lineRule="auto"/>
        <w:rPr>
          <w:rFonts w:hint="eastAsia" w:ascii="宋体" w:hAnsi="宋体" w:cs="宋体"/>
          <w:b/>
          <w:bCs/>
          <w:sz w:val="24"/>
        </w:rPr>
      </w:pPr>
      <w:r>
        <w:rPr>
          <w:rFonts w:hint="eastAsia" w:ascii="宋体" w:hAnsi="宋体" w:cs="宋体"/>
          <w:spacing w:val="-12"/>
          <w:sz w:val="24"/>
        </w:rPr>
        <w:t xml:space="preserve">修好后，中标人需将报告给采购人，包括故障原因，解决措施，完成修理所需</w:t>
      </w:r>
      <w:r>
        <w:rPr>
          <w:rFonts w:hint="eastAsia" w:ascii="宋体" w:hAnsi="宋体" w:cs="宋体"/>
          <w:spacing w:val="-6"/>
          <w:sz w:val="24"/>
        </w:rPr>
        <w:t xml:space="preserve">时</w:t>
      </w:r>
      <w:r>
        <w:rPr>
          <w:rFonts w:hint="eastAsia" w:ascii="宋体" w:hAnsi="宋体" w:cs="宋体"/>
          <w:spacing w:val="-3"/>
          <w:sz w:val="24"/>
        </w:rPr>
        <w:t xml:space="preserve">间及恢复正常运行日期。</w:t>
      </w:r>
      <w:r/>
    </w:p>
    <w:p>
      <w:pPr>
        <w:ind w:firstLine="422"/>
        <w:spacing w:line="360" w:lineRule="auto"/>
        <w:rPr>
          <w:rFonts w:hint="eastAsia" w:ascii="宋体" w:hAnsi="宋体" w:cs="宋体"/>
          <w:b/>
          <w:bCs/>
          <w:spacing w:val="-15"/>
          <w:sz w:val="24"/>
        </w:rPr>
      </w:pPr>
      <w:r>
        <w:rPr>
          <w:rFonts w:hint="eastAsia" w:ascii="宋体" w:hAnsi="宋体" w:cs="宋体"/>
          <w:b/>
          <w:bCs/>
          <w:spacing w:val="-15"/>
          <w:sz w:val="24"/>
        </w:rPr>
        <w:t xml:space="preserve">11、其他说明</w:t>
      </w:r>
      <w:r/>
    </w:p>
    <w:p>
      <w:pPr>
        <w:numPr>
          <w:ilvl w:val="255"/>
          <w:numId w:val="0"/>
        </w:numPr>
        <w:ind w:firstLine="480"/>
        <w:spacing w:line="360" w:lineRule="auto"/>
        <w:tabs>
          <w:tab w:val="left" w:pos="525" w:leader="none"/>
          <w:tab w:val="left" w:pos="945" w:leader="none"/>
        </w:tabs>
        <w:rPr>
          <w:rFonts w:ascii="宋体"/>
          <w:bCs/>
          <w:sz w:val="24"/>
          <w:szCs w:val="24"/>
        </w:rPr>
      </w:pPr>
      <w:r>
        <w:rPr>
          <w:rFonts w:hint="eastAsia" w:ascii="宋体"/>
          <w:bCs/>
          <w:sz w:val="24"/>
          <w:szCs w:val="24"/>
        </w:rPr>
        <w:t xml:space="preserve">11.1本项目工作内容包含旧电梯拆除，拆除废料抵扣拆除费用，采购人不另行支付拆除费用。</w:t>
      </w:r>
      <w:r/>
    </w:p>
    <w:p>
      <w:pPr>
        <w:numPr>
          <w:ilvl w:val="255"/>
          <w:numId w:val="0"/>
        </w:numPr>
        <w:ind w:firstLine="480"/>
        <w:spacing w:line="360" w:lineRule="auto"/>
        <w:tabs>
          <w:tab w:val="left" w:pos="525" w:leader="none"/>
          <w:tab w:val="left" w:pos="945" w:leader="none"/>
        </w:tabs>
        <w:rPr>
          <w:rFonts w:ascii="宋体"/>
          <w:bCs/>
          <w:sz w:val="24"/>
          <w:szCs w:val="24"/>
        </w:rPr>
      </w:pPr>
      <w:r>
        <w:rPr>
          <w:rFonts w:hint="eastAsia" w:ascii="宋体" w:hAnsi="宋体" w:cs="宋体"/>
          <w:sz w:val="24"/>
        </w:rPr>
        <w:t xml:space="preserve">11.2报价采用总承包方式，本项目固定总价。</w:t>
      </w:r>
      <w:r>
        <w:rPr>
          <w:rFonts w:hint="eastAsia" w:ascii="宋体"/>
          <w:bCs/>
          <w:sz w:val="24"/>
          <w:szCs w:val="24"/>
        </w:rPr>
        <w:t xml:space="preserve">投标人的报价应包括但不限于所投产品及其配件的采购、装饰、运输、安装、调试、监检、电梯防护、照明、井道改造（机房土建整改、机房爬梯改造、井道改造（支架）、电梯小门套修复、外招孔洞修复）费用等，直至领取到《特种设备使用标志》交付采购人使用，以及免保期2年内的维修、保养等一切有关的为完成本项目发生的所有费用，招标文件中另有规定的除外。</w:t>
      </w:r>
      <w:r/>
    </w:p>
    <w:p>
      <w:pPr>
        <w:numPr>
          <w:ilvl w:val="255"/>
          <w:numId w:val="0"/>
        </w:numPr>
        <w:ind w:firstLine="480"/>
        <w:spacing w:line="360" w:lineRule="auto"/>
        <w:tabs>
          <w:tab w:val="left" w:pos="525" w:leader="none"/>
          <w:tab w:val="left" w:pos="945" w:leader="none"/>
        </w:tabs>
        <w:rPr>
          <w:rFonts w:ascii="宋体"/>
          <w:bCs/>
          <w:sz w:val="24"/>
          <w:szCs w:val="24"/>
        </w:rPr>
      </w:pPr>
      <w:r>
        <w:rPr>
          <w:rFonts w:hint="eastAsia" w:ascii="宋体" w:hAnsi="宋体"/>
          <w:bCs/>
          <w:sz w:val="24"/>
          <w:szCs w:val="24"/>
        </w:rPr>
        <w:t xml:space="preserve">11.3通过中国海关报关验放进入中国境内且产自中国境外的产品不在本项目的报价范围。</w:t>
      </w:r>
      <w:r/>
    </w:p>
    <w:p>
      <w:pPr>
        <w:numPr>
          <w:ilvl w:val="255"/>
          <w:numId w:val="0"/>
        </w:numPr>
        <w:ind w:firstLine="480"/>
        <w:spacing w:line="360" w:lineRule="auto"/>
        <w:tabs>
          <w:tab w:val="left" w:pos="525" w:leader="none"/>
          <w:tab w:val="left" w:pos="630" w:leader="none"/>
          <w:tab w:val="left" w:pos="735" w:leader="none"/>
          <w:tab w:val="left" w:pos="945" w:leader="none"/>
        </w:tabs>
        <w:rPr>
          <w:rFonts w:hint="eastAsia" w:ascii="宋体" w:hAnsi="宋体"/>
          <w:bCs/>
          <w:sz w:val="24"/>
          <w:szCs w:val="24"/>
        </w:rPr>
      </w:pPr>
      <w:r>
        <w:rPr>
          <w:rFonts w:hint="eastAsia" w:ascii="宋体"/>
          <w:bCs/>
          <w:sz w:val="24"/>
          <w:szCs w:val="24"/>
        </w:rPr>
        <w:t xml:space="preserve">11.4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w:t>
      </w:r>
      <w:r>
        <w:rPr>
          <w:rFonts w:hint="eastAsia" w:ascii="宋体" w:hAnsi="宋体"/>
          <w:bCs/>
          <w:sz w:val="24"/>
          <w:szCs w:val="24"/>
        </w:rPr>
        <w:t xml:space="preserve">方可销售或者提供。</w:t>
      </w:r>
      <w:r/>
    </w:p>
    <w:p>
      <w:pPr>
        <w:numPr>
          <w:ilvl w:val="255"/>
          <w:numId w:val="0"/>
        </w:numPr>
        <w:ind w:firstLine="480"/>
        <w:spacing w:line="360" w:lineRule="auto"/>
        <w:tabs>
          <w:tab w:val="left" w:pos="525" w:leader="none"/>
          <w:tab w:val="left" w:pos="630" w:leader="none"/>
          <w:tab w:val="left" w:pos="735" w:leader="none"/>
          <w:tab w:val="left" w:pos="945" w:leader="none"/>
        </w:tabs>
        <w:rPr>
          <w:rFonts w:hint="eastAsia" w:ascii="宋体" w:hAnsi="宋体"/>
          <w:b/>
          <w:bCs/>
          <w:sz w:val="24"/>
          <w:szCs w:val="24"/>
        </w:rPr>
      </w:pPr>
      <w:r>
        <w:rPr>
          <w:rFonts w:hint="eastAsia" w:ascii="宋体" w:hAnsi="宋体"/>
          <w:bCs/>
          <w:sz w:val="24"/>
          <w:szCs w:val="24"/>
        </w:rPr>
        <w:t xml:space="preserve">11.5</w:t>
      </w:r>
      <w:r>
        <w:rPr>
          <w:rFonts w:hint="eastAsia" w:ascii="宋体" w:hAnsi="宋体" w:cs="宋体"/>
          <w:b/>
          <w:bCs/>
          <w:sz w:val="24"/>
        </w:rPr>
        <w:t xml:space="preserve">供货期</w:t>
      </w:r>
      <w:r>
        <w:rPr>
          <w:rStyle w:val="1694"/>
          <w:rFonts w:hint="eastAsia" w:ascii="宋体" w:hAnsi="宋体" w:cs="宋体"/>
          <w:b/>
          <w:bCs/>
          <w:sz w:val="24"/>
        </w:rPr>
        <w:t xml:space="preserve">：合同签订生效后120日历天内完成供货、安装及调试（供货期60天，安装工期60天）。</w:t>
      </w:r>
      <w:r/>
    </w:p>
    <w:p>
      <w:pPr>
        <w:numPr>
          <w:ilvl w:val="255"/>
          <w:numId w:val="0"/>
        </w:numPr>
        <w:ind w:firstLine="480"/>
        <w:spacing w:line="360" w:lineRule="auto"/>
        <w:tabs>
          <w:tab w:val="left" w:pos="525" w:leader="none"/>
          <w:tab w:val="left" w:pos="630" w:leader="none"/>
          <w:tab w:val="left" w:pos="735" w:leader="none"/>
          <w:tab w:val="left" w:pos="945" w:leader="none"/>
        </w:tabs>
        <w:rPr>
          <w:rStyle w:val="1694"/>
          <w:rFonts w:hint="eastAsia" w:ascii="宋体" w:hAnsi="宋体"/>
          <w:b/>
          <w:bCs/>
          <w:sz w:val="24"/>
          <w:szCs w:val="24"/>
        </w:rPr>
      </w:pPr>
      <w:r>
        <w:rPr>
          <w:rFonts w:hint="eastAsia" w:ascii="宋体" w:hAnsi="宋体"/>
          <w:b/>
          <w:bCs/>
          <w:sz w:val="24"/>
          <w:szCs w:val="24"/>
        </w:rPr>
        <w:t xml:space="preserve">11.6质保期：本工程要求整套电梯设备的质保期</w:t>
      </w:r>
      <w:r>
        <w:rPr>
          <w:rStyle w:val="1694"/>
          <w:rFonts w:hint="eastAsia" w:ascii="宋体" w:hAnsi="宋体" w:cs="宋体"/>
          <w:b/>
          <w:bCs/>
          <w:sz w:val="24"/>
        </w:rPr>
        <w:t xml:space="preserve">自江苏省特种设备安全监督检验研究院无锡分院对电梯验收合格之日起5年。</w:t>
      </w:r>
      <w:r/>
    </w:p>
    <w:p>
      <w:pPr>
        <w:numPr>
          <w:ilvl w:val="255"/>
          <w:numId w:val="0"/>
        </w:numPr>
        <w:ind w:firstLine="480"/>
        <w:spacing w:line="360" w:lineRule="auto"/>
        <w:tabs>
          <w:tab w:val="left" w:pos="525" w:leader="none"/>
          <w:tab w:val="left" w:pos="630" w:leader="none"/>
          <w:tab w:val="left" w:pos="735" w:leader="none"/>
          <w:tab w:val="left" w:pos="945" w:leader="none"/>
        </w:tabs>
        <w:rPr>
          <w:rFonts w:hint="eastAsia" w:ascii="宋体" w:hAnsi="宋体"/>
          <w:b/>
          <w:bCs/>
          <w:sz w:val="24"/>
          <w:szCs w:val="24"/>
        </w:rPr>
      </w:pPr>
      <w:r>
        <w:rPr>
          <w:rFonts w:hint="eastAsia" w:ascii="宋体" w:hAnsi="宋体"/>
          <w:b/>
          <w:bCs/>
          <w:sz w:val="24"/>
          <w:szCs w:val="24"/>
        </w:rPr>
        <w:t xml:space="preserve">11.7免保期：本工程要求整套电梯设备的免保期</w:t>
      </w:r>
      <w:r>
        <w:rPr>
          <w:rStyle w:val="1694"/>
          <w:rFonts w:hint="eastAsia" w:ascii="宋体" w:hAnsi="宋体" w:cs="宋体"/>
          <w:b/>
          <w:bCs/>
          <w:sz w:val="24"/>
        </w:rPr>
        <w:t xml:space="preserve">自江苏省特种设备安全监督检验研究院无锡分院对电梯验收合格之日起2年。</w:t>
      </w:r>
      <w:r/>
    </w:p>
    <w:p>
      <w:pPr>
        <w:numPr>
          <w:ilvl w:val="255"/>
          <w:numId w:val="0"/>
        </w:numPr>
        <w:ind w:firstLine="480"/>
        <w:spacing w:line="360" w:lineRule="auto"/>
        <w:tabs>
          <w:tab w:val="left" w:pos="525" w:leader="none"/>
          <w:tab w:val="left" w:pos="630" w:leader="none"/>
          <w:tab w:val="left" w:pos="735" w:leader="none"/>
          <w:tab w:val="left" w:pos="945" w:leader="none"/>
        </w:tabs>
        <w:rPr>
          <w:rFonts w:hint="eastAsia" w:ascii="宋体" w:hAnsi="宋体"/>
          <w:b/>
          <w:sz w:val="24"/>
          <w:szCs w:val="24"/>
        </w:rPr>
      </w:pPr>
      <w:r>
        <w:rPr>
          <w:rFonts w:hint="eastAsia" w:ascii="宋体" w:hAnsi="宋体"/>
          <w:b/>
          <w:sz w:val="24"/>
          <w:szCs w:val="24"/>
        </w:rPr>
        <w:t xml:space="preserve">11.8付款方式：</w:t>
      </w:r>
      <w:r>
        <w:rPr>
          <w:rStyle w:val="1694"/>
          <w:rFonts w:hint="eastAsia" w:ascii="宋体" w:hAnsi="宋体" w:cs="宋体"/>
          <w:b/>
          <w:sz w:val="24"/>
        </w:rPr>
        <w:t xml:space="preserve">设备付款：</w:t>
      </w:r>
      <w:r>
        <w:rPr>
          <w:rFonts w:hint="eastAsia" w:ascii="宋体" w:hAnsi="宋体" w:cs="宋体"/>
          <w:b/>
          <w:sz w:val="24"/>
          <w:szCs w:val="24"/>
        </w:rPr>
        <w:t xml:space="preserve">合同签订后，采购人支付合同价30%作为预付款；货到现场，采购人向中标方支付至合同价的70%；电梯安装结束并调试完毕，经采购人验收通过、江苏省特种设备安全监督检验研究院无锡分院验收合格后30天内向中标方支付至合同价的80%；经结算审计结束后，支付至审定价的97%；质保期满后付清余款。</w:t>
      </w:r>
      <w:r/>
    </w:p>
    <w:p>
      <w:pPr>
        <w:numPr>
          <w:ilvl w:val="255"/>
          <w:numId w:val="0"/>
        </w:numPr>
        <w:ind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hAnsi="宋体"/>
          <w:bCs/>
          <w:sz w:val="24"/>
          <w:szCs w:val="24"/>
        </w:rPr>
        <w:t xml:space="preserve">11.9本项目合同履行地点：无锡，具体地点以合同书约定为准。中标方必须按采购人要求将本项目中货物送到指定地点（包括可能的分布范围），并分地实施安装调试。</w:t>
      </w:r>
      <w:r/>
    </w:p>
    <w:p>
      <w:pPr>
        <w:numPr>
          <w:ilvl w:val="255"/>
          <w:numId w:val="0"/>
        </w:numPr>
        <w:ind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hAnsi="宋体"/>
          <w:bCs/>
          <w:sz w:val="24"/>
          <w:szCs w:val="24"/>
        </w:rPr>
        <w:t xml:space="preserve">11.10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p>
    <w:p>
      <w:pPr>
        <w:numPr>
          <w:ilvl w:val="255"/>
          <w:numId w:val="0"/>
        </w:numPr>
        <w:ind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hAnsi="宋体"/>
          <w:bCs/>
          <w:sz w:val="24"/>
        </w:rPr>
        <w:t xml:space="preserve">11.11中标供应商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r/>
    </w:p>
    <w:p>
      <w:pPr>
        <w:numPr>
          <w:ilvl w:val="255"/>
          <w:numId w:val="0"/>
        </w:numPr>
        <w:ind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bCs/>
          <w:sz w:val="24"/>
          <w:szCs w:val="24"/>
        </w:rPr>
        <w:t xml:space="preserve">11.12依据《政府采购促进中小企业发展管理办法》规定享受扶持政策获得政府采购合同的，小微企业不得将合同分包给大中型企业，中型企业不得将合同分包给大型企业。</w:t>
      </w:r>
      <w:r/>
    </w:p>
    <w:p>
      <w:pPr>
        <w:numPr>
          <w:ilvl w:val="255"/>
          <w:numId w:val="0"/>
        </w:numPr>
        <w:ind w:firstLine="480"/>
        <w:spacing w:line="360" w:lineRule="auto"/>
        <w:tabs>
          <w:tab w:val="left" w:pos="525" w:leader="none"/>
          <w:tab w:val="left" w:pos="630" w:leader="none"/>
          <w:tab w:val="left" w:pos="735" w:leader="none"/>
          <w:tab w:val="left" w:pos="945" w:leader="none"/>
        </w:tabs>
        <w:rPr>
          <w:rFonts w:hint="eastAsia" w:ascii="宋体" w:hAnsi="宋体"/>
          <w:bCs/>
          <w:sz w:val="24"/>
        </w:rPr>
      </w:pPr>
      <w:r>
        <w:rPr>
          <w:rFonts w:hint="eastAsia" w:ascii="宋体" w:hAnsi="宋体"/>
          <w:bCs/>
          <w:sz w:val="24"/>
        </w:rPr>
        <w:t xml:space="preserve">11.13开标后，投标供应商须自行准备设备（包括但不限于笔记本电脑、无线网络）登录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，按招标文件规定时间解密后，在评标过程中保持在线，等待评标委员会的询标和评标结果，中途不得离开。如未按要求应答，由此所产生的损失及风险由投标供应商自行承担。</w:t>
      </w:r>
      <w:r/>
    </w:p>
    <w:p>
      <w:pPr>
        <w:numPr>
          <w:ilvl w:val="255"/>
          <w:numId w:val="0"/>
        </w:numPr>
        <w:ind w:firstLine="480"/>
        <w:spacing w:line="360" w:lineRule="auto"/>
        <w:tabs>
          <w:tab w:val="left" w:pos="525" w:leader="none"/>
          <w:tab w:val="left" w:pos="630" w:leader="none"/>
          <w:tab w:val="left" w:pos="735" w:leader="none"/>
          <w:tab w:val="left" w:pos="945" w:leader="none"/>
        </w:tabs>
        <w:rPr>
          <w:rStyle w:val="1694"/>
          <w:rFonts w:hint="eastAsia" w:ascii="宋体" w:hAnsi="宋体" w:cs="宋体"/>
          <w:sz w:val="24"/>
        </w:rPr>
      </w:pPr>
      <w:r>
        <w:rPr>
          <w:rStyle w:val="1694"/>
          <w:rFonts w:hint="eastAsia" w:ascii="宋体" w:hAnsi="宋体" w:cs="宋体"/>
          <w:sz w:val="24"/>
        </w:rPr>
        <w:t xml:space="preserve">11.14履约保证金：详见合同条款。</w:t>
      </w:r>
      <w:r/>
    </w:p>
    <w:p>
      <w:pPr>
        <w:numPr>
          <w:ilvl w:val="255"/>
          <w:numId w:val="0"/>
        </w:numPr>
        <w:ind w:firstLine="480"/>
        <w:spacing w:line="360" w:lineRule="auto"/>
        <w:tabs>
          <w:tab w:val="left" w:pos="525" w:leader="none"/>
          <w:tab w:val="left" w:pos="630" w:leader="none"/>
          <w:tab w:val="left" w:pos="735" w:leader="none"/>
          <w:tab w:val="left" w:pos="945" w:leader="none"/>
        </w:tabs>
        <w:rPr>
          <w:rFonts w:hint="eastAsia" w:ascii="黑体" w:hAnsi="黑体" w:eastAsia="黑体"/>
          <w:bCs/>
          <w:sz w:val="36"/>
          <w:szCs w:val="36"/>
        </w:rPr>
      </w:pPr>
      <w:r>
        <w:rPr>
          <w:rStyle w:val="1694"/>
          <w:rFonts w:hint="eastAsia" w:ascii="宋体" w:hAnsi="宋体" w:cs="宋体"/>
          <w:sz w:val="24"/>
        </w:rPr>
        <w:t xml:space="preserve">11.15投标供应商必须在满足招标文件要求的基础上进行报价，不可以出现技术负偏离。技术正偏离在偏离表中说明。</w:t>
      </w:r>
      <w:r>
        <w:rPr>
          <w:rFonts w:hint="eastAsia" w:ascii="宋体" w:hAnsi="宋体"/>
          <w:bCs/>
          <w:sz w:val="24"/>
        </w:rPr>
        <w:t xml:space="preserve">需求中涉及量化指标区间范围的，首个数字为该项最低标准，须完全满足，未满足的视为负偏离。</w:t>
      </w:r>
      <w:r/>
    </w:p>
    <w:p>
      <w:pPr>
        <w:rPr>
          <w:rFonts w:ascii="宋体" w:hAnsi="宋体" w:eastAsia="宋体" w:cs="宋体"/>
          <w:color w:val="000000"/>
          <w:sz w:val="24"/>
          <w:szCs w:val="24"/>
          <w:highlight w:val="none"/>
          <w:lang w:val="zh-CN"/>
        </w:rPr>
      </w:pPr>
      <w:r>
        <w:rPr>
          <w:rFonts w:ascii="宋体" w:hAnsi="宋体" w:eastAsia="宋体" w:cs="宋体"/>
          <w:color w:val="000000"/>
          <w:sz w:val="24"/>
          <w:szCs w:val="24"/>
          <w:highlight w:val="none"/>
          <w:lang w:val="zh-CN"/>
        </w:rPr>
      </w:r>
      <w:r/>
    </w:p>
    <w:p>
      <w:pPr>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br w:type="page" w:clear="all"/>
      </w:r>
      <w:r/>
    </w:p>
    <w:p>
      <w:pPr>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附：政府采购政策（包括但不限于下列具体政策要求）</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color w:val="000000" w:themeColor="text1"/>
          <w:sz w:val="24"/>
          <w:szCs w:val="24"/>
          <w:highlight w:val="none"/>
          <w14:textFill>
            <w14:solidFill>
              <w14:schemeClr w14:val="tx1"/>
            </w14:solidFill>
          </w14:textFill>
        </w:rPr>
        <w:t xml:space="preserve">中华人民共和国政府采购法</w:t>
      </w:r>
      <w:r>
        <w:rPr>
          <w:rFonts w:hint="eastAsia" w:ascii="宋体" w:hAnsi="宋体" w:eastAsia="宋体" w:cs="宋体"/>
          <w:bCs/>
          <w:color w:val="000000" w:themeColor="text1"/>
          <w:sz w:val="24"/>
          <w:szCs w:val="24"/>
          <w:highlight w:val="none"/>
          <w14:textFill>
            <w14:solidFill>
              <w14:schemeClr w14:val="tx1"/>
            </w14:solidFill>
          </w14:textFill>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.本项目中如有涉及数据库、操作系</w:t>
      </w:r>
      <w:r>
        <w:rPr>
          <w:rFonts w:hint="eastAsia" w:ascii="宋体" w:hAnsi="宋体" w:eastAsia="宋体" w:cs="宋体"/>
          <w:color w:val="000000" w:themeColor="text1"/>
          <w:sz w:val="24"/>
          <w:szCs w:val="24"/>
          <w:highlight w:val="none"/>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ascii="宋体" w:hAnsi="宋体" w:eastAsia="宋体" w:cs="宋体"/>
          <w:color w:val="000000"/>
          <w:sz w:val="24"/>
          <w:szCs w:val="24"/>
          <w:highlight w:val="none"/>
          <w:lang w:val="zh-CN"/>
        </w:rPr>
        <w:sectPr>
          <w:headerReference w:type="default" r:id="rId10"/>
          <w:footerReference w:type="default" r:id="rId17"/>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
          <w14:textFill>
            <w14:solidFill>
              <w14:schemeClr w14:val="tx1"/>
            </w14:solidFill>
          </w14:textFill>
        </w:rPr>
        <w:t xml:space="preserve">采购人原则上应当自收到发票后10个工作日内将资金支付到合同约定的供应商账户。</w:t>
      </w:r>
      <w:bookmarkEnd w:id="23"/>
      <w:r/>
      <w:r/>
    </w:p>
    <w:p>
      <w:pPr>
        <w:pStyle w:val="1037"/>
        <w:jc w:val="center"/>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r>
      <w:r/>
    </w:p>
    <w:p>
      <w:pPr>
        <w:pStyle w:val="1037"/>
        <w:jc w:val="center"/>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r>
      <w:r/>
    </w:p>
    <w:p>
      <w:pPr>
        <w:pStyle w:val="1037"/>
        <w:jc w:val="both"/>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r>
      <w:r/>
    </w:p>
    <w:p>
      <w:pPr>
        <w:pStyle w:val="1037"/>
        <w:jc w:val="center"/>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t xml:space="preserve">政府采购</w:t>
      </w:r>
      <w:r>
        <w:rPr>
          <w:rFonts w:hint="eastAsia" w:ascii="宋体" w:hAnsi="宋体" w:cs="宋体"/>
          <w:b/>
          <w:bCs/>
          <w:color w:val="auto"/>
          <w:spacing w:val="-20"/>
          <w:sz w:val="48"/>
          <w:szCs w:val="48"/>
          <w:highlight w:val="none"/>
          <w:lang w:eastAsia="zh-CN"/>
        </w:rPr>
        <w:t xml:space="preserve">货物买卖</w:t>
      </w:r>
      <w:r>
        <w:rPr>
          <w:rFonts w:hint="eastAsia" w:ascii="宋体" w:hAnsi="宋体" w:cs="宋体"/>
          <w:b/>
          <w:bCs/>
          <w:color w:val="auto"/>
          <w:spacing w:val="-20"/>
          <w:sz w:val="48"/>
          <w:szCs w:val="48"/>
          <w:highlight w:val="none"/>
        </w:rPr>
        <w:t xml:space="preserve">合同</w:t>
      </w:r>
      <w:r/>
    </w:p>
    <w:p>
      <w:pPr>
        <w:pStyle w:val="1037"/>
        <w:jc w:val="center"/>
        <w:spacing w:after="0"/>
        <w:rPr>
          <w:rFonts w:hint="eastAsia" w:ascii="宋体" w:hAnsi="宋体" w:eastAsia="宋体" w:cs="宋体"/>
          <w:b/>
          <w:bCs/>
          <w:color w:val="auto"/>
          <w:spacing w:val="-20"/>
          <w:sz w:val="48"/>
          <w:szCs w:val="48"/>
          <w:highlight w:val="none"/>
          <w:lang w:eastAsia="zh-CN"/>
        </w:rPr>
      </w:pPr>
      <w:r>
        <w:rPr>
          <w:rFonts w:hint="eastAsia" w:ascii="宋体" w:hAnsi="宋体" w:cs="宋体"/>
          <w:b/>
          <w:bCs/>
          <w:color w:val="auto"/>
          <w:spacing w:val="-20"/>
          <w:sz w:val="48"/>
          <w:szCs w:val="48"/>
          <w:highlight w:val="none"/>
          <w:lang w:eastAsia="zh-CN"/>
        </w:rPr>
        <w:t xml:space="preserve">（试行）</w:t>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ind w:left="42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left="420"/>
        <w:spacing w:line="360" w:lineRule="auto"/>
        <w:rPr>
          <w:color w:val="auto"/>
          <w:sz w:val="32"/>
          <w:szCs w:val="32"/>
          <w:highlight w:val="none"/>
          <w:u w:val="single"/>
        </w:rPr>
      </w:pPr>
      <w:r>
        <w:rPr>
          <w:rFonts w:hint="eastAsia"/>
          <w:color w:val="auto"/>
          <w:sz w:val="32"/>
          <w:szCs w:val="32"/>
          <w:highlight w:val="none"/>
        </w:rPr>
        <w:t xml:space="preserve">合同编号：</w:t>
      </w:r>
      <w:r>
        <w:rPr>
          <w:rFonts w:hint="eastAsia"/>
          <w:color w:val="auto"/>
          <w:sz w:val="32"/>
          <w:szCs w:val="32"/>
          <w:highlight w:val="none"/>
          <w:u w:val="single"/>
        </w:rPr>
        <w:t xml:space="preserve">                             </w:t>
      </w:r>
      <w:r/>
    </w:p>
    <w:p>
      <w:pPr>
        <w:ind w:left="420"/>
        <w:spacing w:line="360" w:lineRule="auto"/>
        <w:rPr>
          <w:color w:val="auto"/>
          <w:sz w:val="32"/>
          <w:szCs w:val="32"/>
          <w:highlight w:val="none"/>
        </w:rPr>
      </w:pPr>
      <w:r>
        <w:rPr>
          <w:rFonts w:hint="eastAsia"/>
          <w:color w:val="auto"/>
          <w:sz w:val="32"/>
          <w:szCs w:val="32"/>
          <w:highlight w:val="none"/>
        </w:rPr>
        <w:t xml:space="preserve">甲    方：</w:t>
      </w:r>
      <w:r>
        <w:rPr>
          <w:rFonts w:hint="eastAsia"/>
          <w:color w:val="auto"/>
          <w:sz w:val="32"/>
          <w:szCs w:val="32"/>
          <w:highlight w:val="none"/>
          <w:u w:val="single"/>
        </w:rPr>
        <w:t xml:space="preserve">                             </w:t>
      </w:r>
      <w:r/>
    </w:p>
    <w:p>
      <w:pPr>
        <w:ind w:left="420"/>
        <w:spacing w:line="360" w:lineRule="auto"/>
        <w:rPr>
          <w:color w:val="auto"/>
          <w:sz w:val="32"/>
          <w:szCs w:val="32"/>
          <w:highlight w:val="none"/>
          <w:u w:val="single"/>
        </w:rPr>
      </w:pPr>
      <w:r>
        <w:rPr>
          <w:rFonts w:hint="eastAsia"/>
          <w:color w:val="auto"/>
          <w:sz w:val="32"/>
          <w:szCs w:val="32"/>
          <w:highlight w:val="none"/>
        </w:rPr>
        <w:t xml:space="preserve">乙    方：</w:t>
      </w:r>
      <w:r>
        <w:rPr>
          <w:rFonts w:hint="eastAsia"/>
          <w:color w:val="auto"/>
          <w:sz w:val="32"/>
          <w:szCs w:val="32"/>
          <w:highlight w:val="none"/>
          <w:u w:val="single"/>
        </w:rPr>
        <w:t xml:space="preserve">                             </w:t>
      </w:r>
      <w:r/>
    </w:p>
    <w:p>
      <w:pPr>
        <w:ind w:left="420"/>
        <w:spacing w:line="360" w:lineRule="auto"/>
        <w:rPr>
          <w:color w:val="auto"/>
          <w:sz w:val="32"/>
          <w:szCs w:val="32"/>
          <w:highlight w:val="none"/>
        </w:rPr>
      </w:pPr>
      <w:r>
        <w:rPr>
          <w:rFonts w:hint="eastAsia"/>
          <w:color w:val="auto"/>
          <w:sz w:val="32"/>
          <w:szCs w:val="32"/>
          <w:highlight w:val="none"/>
        </w:rPr>
        <w:t xml:space="preserve">签订时间：</w:t>
      </w:r>
      <w:r>
        <w:rPr>
          <w:rFonts w:hint="eastAsia"/>
          <w:color w:val="auto"/>
          <w:sz w:val="32"/>
          <w:szCs w:val="32"/>
          <w:highlight w:val="none"/>
          <w:u w:val="single"/>
        </w:rPr>
        <w:t xml:space="preserve">      </w:t>
      </w:r>
      <w:r>
        <w:rPr>
          <w:color w:val="auto"/>
          <w:sz w:val="32"/>
          <w:szCs w:val="32"/>
          <w:highlight w:val="none"/>
          <w:u w:val="single"/>
        </w:rPr>
        <w:t xml:space="preserve">           </w:t>
      </w:r>
      <w:r>
        <w:rPr>
          <w:rFonts w:hint="eastAsia"/>
          <w:color w:val="auto"/>
          <w:sz w:val="32"/>
          <w:szCs w:val="32"/>
          <w:highlight w:val="none"/>
          <w:u w:val="single"/>
        </w:rPr>
        <w:t xml:space="preserve">            </w:t>
      </w:r>
      <w:r/>
    </w:p>
    <w:p>
      <w:pPr>
        <w:rPr>
          <w:color w:val="auto"/>
          <w:highlight w:val="none"/>
        </w:rPr>
      </w:pPr>
      <w:r>
        <w:rPr>
          <w:color w:val="auto"/>
          <w:highlight w:val="none"/>
        </w:rPr>
      </w:r>
      <w:r/>
    </w:p>
    <w:p>
      <w:pPr>
        <w:rPr>
          <w:rFonts w:eastAsia="黑体"/>
          <w:color w:val="auto"/>
          <w:sz w:val="44"/>
          <w:szCs w:val="44"/>
          <w:highlight w:val="none"/>
        </w:rPr>
      </w:pPr>
      <w:r>
        <w:rPr>
          <w:rFonts w:eastAsia="黑体"/>
          <w:color w:val="auto"/>
          <w:sz w:val="44"/>
          <w:szCs w:val="44"/>
          <w:highlight w:val="none"/>
        </w:rPr>
        <w:br w:type="page" w:clear="all"/>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jc w:val="center"/>
        <w:rPr>
          <w:rFonts w:hint="eastAsia" w:eastAsia="黑体"/>
          <w:color w:val="auto"/>
          <w:sz w:val="44"/>
          <w:szCs w:val="44"/>
          <w:highlight w:val="none"/>
          <w:lang w:eastAsia="zh-CN"/>
        </w:rPr>
      </w:pPr>
      <w:r>
        <w:rPr>
          <w:rFonts w:hint="eastAsia" w:eastAsia="黑体"/>
          <w:color w:val="auto"/>
          <w:sz w:val="44"/>
          <w:szCs w:val="44"/>
          <w:highlight w:val="none"/>
          <w:lang w:eastAsia="zh-CN"/>
        </w:rPr>
        <w:t xml:space="preserve">使</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 xml:space="preserve">用</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 xml:space="preserve">说</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 xml:space="preserve">明</w:t>
      </w:r>
      <w:r/>
    </w:p>
    <w:p>
      <w:pPr>
        <w:ind w:firstLine="64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r>
      <w:r/>
    </w:p>
    <w:p>
      <w:pPr>
        <w:ind w:firstLine="64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1.本合同标准文本适用于购买现成货物的采购项目，不包括需要供应商定制开发、创新研发的货物采购项目。</w:t>
      </w:r>
      <w:r/>
    </w:p>
    <w:p>
      <w:pPr>
        <w:ind w:firstLine="0"/>
        <w:rPr>
          <w:rFonts w:hint="default" w:eastAsia="黑体"/>
          <w:color w:val="auto"/>
          <w:sz w:val="44"/>
          <w:szCs w:val="44"/>
          <w:highlight w:val="none"/>
          <w:lang w:val="en-US" w:eastAsia="zh-CN"/>
        </w:rPr>
      </w:pPr>
      <w:r>
        <w:rPr>
          <w:rFonts w:hint="eastAsia" w:eastAsia="黑体"/>
          <w:color w:val="auto"/>
          <w:sz w:val="44"/>
          <w:szCs w:val="44"/>
          <w:highlight w:val="none"/>
          <w:lang w:val="en-US" w:eastAsia="zh-CN"/>
        </w:rPr>
        <w:t xml:space="preserve">   </w:t>
      </w:r>
      <w:r>
        <w:rPr>
          <w:rFonts w:hint="eastAsia" w:ascii="仿宋_GB2312" w:hAnsi="仿宋_GB2312" w:eastAsia="仿宋_GB2312" w:cs="仿宋_GB2312"/>
          <w:color w:val="auto"/>
          <w:sz w:val="32"/>
          <w:szCs w:val="32"/>
          <w:highlight w:val="none"/>
          <w:lang w:val="en-US" w:eastAsia="zh-CN"/>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3.本合同标准文本各条款中，如涉及填写多家供应商、制造商，多种采购标的、分包主要内容等信息的，可根据采购项目具体情况添加信息项。</w:t>
      </w:r>
      <w:r/>
    </w:p>
    <w:p>
      <w:pPr>
        <w:ind w:firstLine="880"/>
        <w:jc w:val="both"/>
        <w:rPr>
          <w:rFonts w:eastAsia="黑体"/>
          <w:color w:val="auto"/>
          <w:sz w:val="44"/>
          <w:szCs w:val="44"/>
          <w:highlight w:val="none"/>
        </w:rPr>
        <w:sectPr>
          <w:headerReference w:type="default" r:id="rId11"/>
          <w:footerReference w:type="default" r:id="rId18"/>
          <w:footnotePr/>
          <w:endnotePr/>
          <w:type w:val="nextPage"/>
          <w:pgSz w:w="11906" w:h="16838" w:orient="portrait"/>
          <w:pgMar w:top="1440" w:right="1800" w:bottom="1440" w:left="1800" w:header="851" w:footer="992" w:gutter="0"/>
          <w:pgNumType w:start="48"/>
          <w:cols w:num="1" w:sep="0" w:space="425" w:equalWidth="1"/>
          <w:docGrid w:linePitch="360"/>
        </w:sectPr>
      </w:pPr>
      <w:r>
        <w:rPr>
          <w:rFonts w:eastAsia="黑体"/>
          <w:color w:val="auto"/>
          <w:sz w:val="44"/>
          <w:szCs w:val="44"/>
          <w:highlight w:val="none"/>
        </w:rPr>
      </w:r>
      <w:r/>
    </w:p>
    <w:p>
      <w:pPr>
        <w:pStyle w:val="1693"/>
        <w:jc w:val="center"/>
        <w:spacing w:line="400" w:lineRule="exact"/>
        <w:rPr>
          <w:rFonts w:hint="eastAsia" w:ascii="黑体" w:hAnsi="华文中宋" w:eastAsia="黑体"/>
          <w:b w:val="0"/>
          <w:bCs w:val="0"/>
          <w:color w:val="000000"/>
          <w:sz w:val="28"/>
          <w:szCs w:val="28"/>
        </w:rPr>
      </w:pPr>
      <w:r/>
      <w:bookmarkStart w:id="25" w:name="_Toc22209"/>
      <w:r/>
      <w:bookmarkStart w:id="26" w:name="_Toc27624"/>
      <w:r>
        <w:rPr>
          <w:rFonts w:hint="eastAsia" w:ascii="黑体" w:hAnsi="黑体" w:eastAsia="黑体"/>
          <w:b w:val="0"/>
          <w:bCs w:val="0"/>
          <w:color w:val="000000"/>
          <w:sz w:val="28"/>
          <w:szCs w:val="28"/>
        </w:rPr>
        <w:t xml:space="preserve">第一节 </w:t>
      </w:r>
      <w:r>
        <w:rPr>
          <w:rFonts w:hint="eastAsia" w:ascii="黑体" w:hAnsi="华文中宋" w:eastAsia="黑体"/>
          <w:b w:val="0"/>
          <w:bCs w:val="0"/>
          <w:color w:val="000000"/>
          <w:sz w:val="28"/>
          <w:szCs w:val="28"/>
        </w:rPr>
        <w:t xml:space="preserve">政府采购合同协议书</w:t>
      </w:r>
      <w:bookmarkEnd w:id="25"/>
      <w:r/>
      <w:r/>
    </w:p>
    <w:p>
      <w:pPr>
        <w:pStyle w:val="1693"/>
        <w:jc w:val="center"/>
        <w:spacing w:line="400" w:lineRule="exact"/>
        <w:rPr>
          <w:rFonts w:hint="eastAsia" w:ascii="黑体" w:hAnsi="华文中宋" w:eastAsia="黑体"/>
          <w:b w:val="0"/>
          <w:bCs w:val="0"/>
          <w:color w:val="000000"/>
          <w:sz w:val="28"/>
          <w:szCs w:val="28"/>
        </w:rPr>
      </w:pPr>
      <w:r>
        <w:rPr>
          <w:rFonts w:hint="eastAsia" w:ascii="黑体" w:hAnsi="华文中宋" w:eastAsia="黑体"/>
          <w:b w:val="0"/>
          <w:bCs w:val="0"/>
          <w:color w:val="000000"/>
          <w:sz w:val="28"/>
          <w:szCs w:val="28"/>
        </w:rPr>
      </w:r>
      <w:r/>
    </w:p>
    <w:p>
      <w:pPr>
        <w:spacing w:before="0" w:line="400" w:lineRule="exac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甲方（全称）：</w:t>
      </w:r>
      <w:r>
        <w:rPr>
          <w:rFonts w:hint="eastAsia" w:asciiTheme="minorEastAsia" w:hAnsiTheme="minorEastAsia" w:eastAsiaTheme="minorEastAsia" w:cstheme="minorEastAsia"/>
          <w:color w:val="000000"/>
          <w:szCs w:val="21"/>
          <w:u w:val="single"/>
          <w:lang w:val="en-US" w:eastAsia="zh-CN"/>
        </w:rPr>
        <w:t xml:space="preserve">无锡市锡山区人民政府东亭街道办事处</w:t>
      </w:r>
      <w:r>
        <w:rPr>
          <w:rFonts w:hint="eastAsia" w:asciiTheme="minorEastAsia" w:hAnsiTheme="minorEastAsia" w:eastAsiaTheme="minorEastAsia" w:cstheme="minorEastAsia"/>
          <w:color w:val="000000"/>
          <w:szCs w:val="21"/>
        </w:rPr>
        <w:t xml:space="preserve">（采购人</w:t>
      </w:r>
      <w:r>
        <w:rPr>
          <w:rFonts w:hint="eastAsia" w:asciiTheme="minorEastAsia" w:hAnsiTheme="minorEastAsia" w:eastAsiaTheme="minorEastAsia" w:cstheme="minorEastAsia"/>
          <w:color w:val="000000"/>
          <w:szCs w:val="21"/>
          <w:lang w:eastAsia="zh-CN"/>
        </w:rPr>
        <w:t xml:space="preserve">、受采购人委托签订合同的单位</w:t>
      </w:r>
      <w:r>
        <w:rPr>
          <w:rFonts w:hint="eastAsia" w:asciiTheme="minorEastAsia" w:hAnsiTheme="minorEastAsia" w:eastAsiaTheme="minorEastAsia" w:cstheme="minorEastAsia"/>
          <w:color w:val="000000"/>
          <w:szCs w:val="21"/>
        </w:rPr>
        <w:t xml:space="preserve">或采购文件约定的合同甲方）</w:t>
      </w:r>
      <w:r/>
    </w:p>
    <w:p>
      <w:pPr>
        <w:spacing w:before="0" w:line="400" w:lineRule="exac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乙方</w:t>
      </w:r>
      <w:r>
        <w:rPr>
          <w:rFonts w:hint="eastAsia" w:asciiTheme="minorEastAsia" w:hAnsiTheme="minorEastAsia" w:eastAsiaTheme="minorEastAsia" w:cstheme="minorEastAsia"/>
          <w:color w:val="000000"/>
          <w:szCs w:val="21"/>
          <w:lang w:val="en-US" w:eastAsia="zh-CN"/>
        </w:rPr>
        <w:t xml:space="preserve">1</w:t>
      </w:r>
      <w:r>
        <w:rPr>
          <w:rFonts w:hint="eastAsia" w:asciiTheme="minorEastAsia" w:hAnsiTheme="minorEastAsia" w:eastAsiaTheme="minorEastAsia" w:cstheme="minorEastAsia"/>
          <w:color w:val="000000"/>
          <w:szCs w:val="21"/>
        </w:rPr>
        <w:t xml:space="preserve">（全称）：</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（供应商）</w:t>
      </w:r>
      <w:r/>
    </w:p>
    <w:p>
      <w:pPr>
        <w:spacing w:before="0" w:line="400" w:lineRule="exac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乙方2（全称）：</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（联合体成员供应商或其他合同主体）（如有）</w:t>
      </w:r>
      <w:r/>
    </w:p>
    <w:p>
      <w:pPr>
        <w:spacing w:before="0" w:line="400" w:lineRule="exac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lang w:eastAsia="zh-CN"/>
        </w:rPr>
        <w:t xml:space="preserve">乙方</w:t>
      </w:r>
      <w:r>
        <w:rPr>
          <w:rFonts w:hint="eastAsia" w:asciiTheme="minorEastAsia" w:hAnsiTheme="minorEastAsia" w:eastAsiaTheme="minorEastAsia" w:cstheme="minorEastAsia"/>
          <w:color w:val="000000"/>
          <w:szCs w:val="21"/>
          <w:lang w:val="en-US" w:eastAsia="zh-CN"/>
        </w:rPr>
        <w:t xml:space="preserve">3</w:t>
      </w:r>
      <w:r>
        <w:rPr>
          <w:rFonts w:hint="eastAsia" w:asciiTheme="minorEastAsia" w:hAnsiTheme="minorEastAsia" w:eastAsiaTheme="minorEastAsia" w:cstheme="minorEastAsia"/>
          <w:color w:val="000000"/>
          <w:lang w:val="en-US" w:eastAsia="zh-CN"/>
        </w:rPr>
        <w:t xml:space="preserve">（全称）</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（联合体成员供应商或其他合同主体）（如有）</w:t>
      </w:r>
      <w:r/>
    </w:p>
    <w:p>
      <w:pPr>
        <w:spacing w:line="400" w:lineRule="exact"/>
        <w:rPr>
          <w:rFonts w:hint="eastAsia" w:asciiTheme="minorEastAsia" w:hAnsiTheme="minorEastAsia" w:eastAsiaTheme="minorEastAsia" w:cstheme="minorEastAsia"/>
          <w:color w:val="000000"/>
          <w:lang w:val="en-US" w:eastAsia="zh-CN"/>
        </w:rPr>
      </w:pPr>
      <w:r>
        <w:rPr>
          <w:rFonts w:hint="eastAsia" w:asciiTheme="minorEastAsia" w:hAnsiTheme="minorEastAsia" w:eastAsiaTheme="minorEastAsia" w:cstheme="minorEastAsia"/>
          <w:color w:val="000000"/>
          <w:lang w:val="en-US" w:eastAsia="zh-CN"/>
        </w:rPr>
      </w:r>
      <w:r/>
    </w:p>
    <w:p>
      <w:pPr>
        <w:ind w:left="0" w:firstLine="420"/>
        <w:jc w:val="both"/>
        <w:spacing w:before="0" w:after="0" w:line="400" w:lineRule="exact"/>
        <w:widowControl w:val="off"/>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 xml:space="preserve">依据《中华人民共和国民法典》《中华人民共和国政府采购法》等有关的法律法规，以及</w:t>
      </w:r>
      <w:r>
        <w:rPr>
          <w:rFonts w:hint="eastAsia" w:asciiTheme="minorEastAsia" w:hAnsiTheme="minorEastAsia" w:eastAsiaTheme="minorEastAsia" w:cstheme="minorEastAsia"/>
          <w:i w:val="0"/>
          <w:iCs w:val="0"/>
          <w:color w:val="000000"/>
          <w:sz w:val="21"/>
          <w:szCs w:val="21"/>
          <w:u w:val="none"/>
          <w:lang w:eastAsia="zh-CN"/>
        </w:rPr>
        <w:t xml:space="preserve">本采购项目</w:t>
      </w:r>
      <w:r>
        <w:rPr>
          <w:rFonts w:hint="eastAsia" w:asciiTheme="minorEastAsia" w:hAnsiTheme="minorEastAsia" w:eastAsiaTheme="minorEastAsia" w:cstheme="minorEastAsia"/>
          <w:color w:val="000000"/>
          <w:sz w:val="21"/>
          <w:szCs w:val="21"/>
          <w:lang w:eastAsia="zh-CN"/>
        </w:rPr>
        <w:t xml:space="preserve">的招标</w:t>
      </w:r>
      <w:r>
        <w:rPr>
          <w:rFonts w:hint="eastAsia" w:asciiTheme="minorEastAsia" w:hAnsiTheme="minorEastAsia" w:eastAsiaTheme="minorEastAsia" w:cstheme="minorEastAsia"/>
          <w:color w:val="000000"/>
          <w:sz w:val="21"/>
          <w:szCs w:val="21"/>
          <w:lang w:val="en-US" w:eastAsia="zh-CN"/>
        </w:rPr>
        <w:t xml:space="preserve">/谈判</w:t>
      </w:r>
      <w:r>
        <w:rPr>
          <w:rFonts w:hint="eastAsia" w:asciiTheme="minorEastAsia" w:hAnsiTheme="minorEastAsia" w:eastAsiaTheme="minorEastAsia" w:cstheme="minorEastAsia"/>
          <w:color w:val="000000"/>
          <w:sz w:val="21"/>
          <w:szCs w:val="21"/>
          <w:lang w:eastAsia="zh-CN"/>
        </w:rPr>
        <w:t xml:space="preserve">文件等采购文件、乙方的《投标（响应）文件》及《中标（成交）通知书》，甲乙双方同意签订本合同。具体情况及要求如下：     </w:t>
      </w:r>
      <w:r/>
    </w:p>
    <w:p>
      <w:pPr>
        <w:numPr>
          <w:ilvl w:val="0"/>
          <w:numId w:val="3"/>
        </w:numPr>
        <w:ind w:firstLine="420"/>
        <w:spacing w:before="0" w:line="400" w:lineRule="exact"/>
        <w:rPr>
          <w:rFonts w:hint="eastAsia" w:asciiTheme="minorEastAsia" w:hAnsiTheme="minorEastAsia" w:eastAsiaTheme="minorEastAsia" w:cstheme="minorEastAsia"/>
          <w:b/>
          <w:color w:val="000000"/>
          <w:szCs w:val="21"/>
        </w:rPr>
      </w:pPr>
      <w:r>
        <w:rPr>
          <w:rFonts w:hint="eastAsia" w:asciiTheme="minorEastAsia" w:hAnsiTheme="minorEastAsia" w:eastAsiaTheme="minorEastAsia" w:cstheme="minorEastAsia"/>
          <w:b/>
          <w:color w:val="000000"/>
          <w:szCs w:val="21"/>
        </w:rPr>
        <w:t xml:space="preserve">项目信息</w:t>
      </w:r>
      <w:r/>
    </w:p>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项目名称：                                       项目编号：</w:t>
      </w:r>
      <w:r/>
    </w:p>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甲方：（买方、需方、采购人）_________</w:t>
      </w:r>
      <w:r/>
    </w:p>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乙方：（卖方、供方、供应商）_________</w:t>
      </w:r>
      <w:r/>
    </w:p>
    <w:p>
      <w:pPr>
        <w:ind w:firstLine="480"/>
        <w:spacing w:line="40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sz w:val="24"/>
          <w:szCs w:val="24"/>
          <w:highlight w:val="none"/>
        </w:rPr>
        <w:t xml:space="preserve">甲、乙双方根据无锡市</w:t>
      </w:r>
      <w:r>
        <w:rPr>
          <w:rFonts w:hint="eastAsia" w:asciiTheme="minorEastAsia" w:hAnsiTheme="minorEastAsia" w:eastAsiaTheme="minorEastAsia" w:cstheme="minorEastAsia"/>
          <w:sz w:val="24"/>
          <w:szCs w:val="24"/>
          <w:highlight w:val="none"/>
          <w:lang w:val="en-US" w:eastAsia="zh-CN"/>
        </w:rPr>
        <w:t xml:space="preserve">锡山区</w:t>
      </w:r>
      <w:r>
        <w:rPr>
          <w:rFonts w:hint="eastAsia" w:asciiTheme="minorEastAsia" w:hAnsiTheme="minorEastAsia" w:eastAsiaTheme="minorEastAsia" w:cstheme="minorEastAsia"/>
          <w:sz w:val="24"/>
          <w:szCs w:val="24"/>
          <w:highlight w:val="none"/>
        </w:rPr>
        <w:t xml:space="preserve">公共资源交易中心项目公开招标的结果，签署本合同。</w:t>
      </w:r>
      <w:r/>
    </w:p>
    <w:p>
      <w:pPr>
        <w:ind w:firstLine="482"/>
        <w:spacing w:line="40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一、合同内容</w:t>
      </w:r>
      <w:r/>
    </w:p>
    <w:p>
      <w:pPr>
        <w:ind w:firstLine="480"/>
        <w:spacing w:line="400" w:lineRule="exac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1.1 标的名称：东亭街道安置房小区老旧电梯更新项目</w:t>
      </w:r>
      <w:r>
        <w:rPr>
          <w:rFonts w:hint="eastAsia" w:asciiTheme="minorEastAsia" w:hAnsiTheme="minorEastAsia" w:eastAsiaTheme="minorEastAsia" w:cstheme="minorEastAsia"/>
          <w:sz w:val="24"/>
          <w:szCs w:val="24"/>
          <w:highlight w:val="none"/>
          <w:lang w:eastAsia="zh-CN"/>
        </w:rPr>
        <w:t xml:space="preserve">；</w:t>
      </w:r>
      <w:r/>
    </w:p>
    <w:p>
      <w:pPr>
        <w:ind w:firstLine="480"/>
        <w:spacing w:line="40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1.2 标的质量：</w:t>
      </w:r>
      <w:r>
        <w:rPr>
          <w:rFonts w:hint="eastAsia" w:asciiTheme="minorEastAsia" w:hAnsiTheme="minorEastAsia" w:eastAsiaTheme="minorEastAsia" w:cstheme="minorEastAsia"/>
          <w:sz w:val="24"/>
          <w:szCs w:val="24"/>
          <w:highlight w:val="none"/>
          <w:lang w:val="en-US" w:eastAsia="zh-CN"/>
        </w:rPr>
        <w:t xml:space="preserve">合格；</w:t>
      </w:r>
      <w:r/>
    </w:p>
    <w:p>
      <w:pPr>
        <w:ind w:firstLine="480"/>
        <w:spacing w:line="40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1.3 标的数量（规模）：</w:t>
      </w:r>
      <w:r>
        <w:rPr>
          <w:rFonts w:hint="eastAsia" w:asciiTheme="minorEastAsia" w:hAnsiTheme="minorEastAsia" w:eastAsiaTheme="minorEastAsia" w:cstheme="minorEastAsia"/>
          <w:sz w:val="24"/>
          <w:szCs w:val="24"/>
          <w:highlight w:val="none"/>
          <w:lang w:val="en-US" w:eastAsia="zh-CN"/>
        </w:rPr>
        <w:t xml:space="preserve">34台电梯采购；</w:t>
      </w:r>
      <w:r/>
    </w:p>
    <w:p>
      <w:pPr>
        <w:ind w:firstLine="480"/>
        <w:spacing w:line="400" w:lineRule="exac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1.4 履行时间（期限）：合同签订生效后120日历天内完成供货、安装及调试（供货期60天，安装工期60天）</w:t>
      </w:r>
      <w:r>
        <w:rPr>
          <w:rFonts w:hint="eastAsia" w:asciiTheme="minorEastAsia" w:hAnsiTheme="minorEastAsia" w:eastAsiaTheme="minorEastAsia" w:cstheme="minorEastAsia"/>
          <w:sz w:val="24"/>
          <w:szCs w:val="24"/>
          <w:highlight w:val="none"/>
          <w:lang w:eastAsia="zh-CN"/>
        </w:rPr>
        <w:t xml:space="preserve">；</w:t>
      </w:r>
      <w:r/>
    </w:p>
    <w:p>
      <w:pPr>
        <w:ind w:firstLine="480"/>
        <w:spacing w:line="40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1.5 履行地点：</w:t>
      </w:r>
      <w:r>
        <w:rPr>
          <w:rFonts w:hint="eastAsia" w:asciiTheme="minorEastAsia" w:hAnsiTheme="minorEastAsia" w:eastAsiaTheme="minorEastAsia" w:cstheme="minorEastAsia"/>
          <w:sz w:val="24"/>
          <w:szCs w:val="24"/>
          <w:highlight w:val="none"/>
          <w:lang w:val="en-US" w:eastAsia="zh-CN"/>
        </w:rPr>
        <w:t xml:space="preserve">东亭街道涉及的安置房小区；</w:t>
      </w:r>
      <w:r/>
    </w:p>
    <w:p>
      <w:pPr>
        <w:ind w:firstLine="480"/>
        <w:spacing w:line="40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1.6 履行方式：</w:t>
      </w:r>
      <w:r>
        <w:rPr>
          <w:rFonts w:hint="eastAsia" w:asciiTheme="minorEastAsia" w:hAnsiTheme="minorEastAsia" w:eastAsiaTheme="minorEastAsia" w:cstheme="minorEastAsia"/>
          <w:sz w:val="24"/>
          <w:szCs w:val="24"/>
          <w:highlight w:val="none"/>
          <w:lang w:val="en-US" w:eastAsia="zh-CN"/>
        </w:rPr>
        <w:t xml:space="preserve">包拆除、供货、安装、质保；</w:t>
      </w:r>
      <w:r/>
    </w:p>
    <w:p>
      <w:pPr>
        <w:ind w:firstLine="480"/>
        <w:spacing w:line="40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1.7 包装方式：</w:t>
      </w:r>
      <w:r>
        <w:rPr>
          <w:rFonts w:hint="eastAsia" w:asciiTheme="minorEastAsia" w:hAnsiTheme="minorEastAsia" w:eastAsiaTheme="minorEastAsia" w:cstheme="minorEastAsia"/>
          <w:sz w:val="24"/>
          <w:szCs w:val="24"/>
          <w:highlight w:val="none"/>
          <w:lang w:val="en-US" w:eastAsia="zh-CN"/>
        </w:rPr>
        <w:t xml:space="preserve">详见合同要求。</w:t>
      </w:r>
      <w:r/>
    </w:p>
    <w:p>
      <w:pPr>
        <w:ind w:firstLine="482"/>
        <w:spacing w:line="40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二、合同金额</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2.1本合同金额为（大写）：____________元（______元）人民币或其他币种。</w:t>
      </w:r>
      <w:r/>
    </w:p>
    <w:p>
      <w:pPr>
        <w:ind w:firstLine="482"/>
        <w:spacing w:line="40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三、技术资料</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3.1乙方应按招标文件规定的时间向甲方提供使用货物（包含与货物相关的服务）的有关技术资料。</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3.2 没有甲方事先书面同意，乙方不得将由甲方提供的有关合同或任何合同条文、规格、计划、图纸、样品或资料提供基于履行本合同无关的任何其他人。即使向履行本合同有关的人员提供，也应注意保密并限于履行合同的必需范围。</w:t>
      </w:r>
      <w:r/>
    </w:p>
    <w:p>
      <w:pPr>
        <w:ind w:firstLine="482"/>
        <w:spacing w:line="40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四、知识产权</w:t>
      </w:r>
      <w:r/>
    </w:p>
    <w:p>
      <w:pPr>
        <w:ind w:firstLine="480"/>
        <w:spacing w:line="40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szCs w:val="24"/>
          <w:highlight w:val="none"/>
        </w:rPr>
        <w:t xml:space="preserve">4.1乙</w:t>
      </w:r>
      <w:r>
        <w:rPr>
          <w:rFonts w:hint="eastAsia" w:asciiTheme="minorEastAsia" w:hAnsiTheme="minorEastAsia" w:eastAsiaTheme="minorEastAsia" w:cstheme="minorEastAsia"/>
          <w:sz w:val="24"/>
          <w:highlight w:val="none"/>
        </w:rPr>
        <w:t xml:space="preserve">方应保证甲方在使用、接受本合同货物</w:t>
      </w:r>
      <w:r>
        <w:rPr>
          <w:rFonts w:hint="eastAsia" w:asciiTheme="minorEastAsia" w:hAnsiTheme="minorEastAsia" w:eastAsiaTheme="minorEastAsia" w:cstheme="minorEastAsia"/>
          <w:sz w:val="24"/>
          <w:szCs w:val="24"/>
          <w:highlight w:val="none"/>
        </w:rPr>
        <w:t xml:space="preserve">（包含与货物相关的服务）</w:t>
      </w:r>
      <w:r>
        <w:rPr>
          <w:rFonts w:hint="eastAsia" w:asciiTheme="minorEastAsia" w:hAnsiTheme="minorEastAsia" w:eastAsiaTheme="minorEastAsia" w:cstheme="minorEastAsia"/>
          <w:sz w:val="24"/>
          <w:highlight w:val="none"/>
        </w:rPr>
        <w:t xml:space="preserve">或其任何一部分时不受第三方提出侵犯其专利权、版权、商标权和工业设计权等知识产权的起诉。一旦出现侵权，由乙方负全部责任。</w:t>
      </w:r>
      <w:r/>
    </w:p>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（注：采购项目如涉及采购标的的知识产权归属、处理的，如订购、设计、定制开发的信息化建设项目等，应当约定知识产权的归属和处理方式）</w:t>
      </w:r>
      <w:r/>
    </w:p>
    <w:p>
      <w:pPr>
        <w:ind w:firstLine="482"/>
        <w:spacing w:line="400" w:lineRule="exac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b/>
          <w:sz w:val="24"/>
          <w:szCs w:val="24"/>
          <w:highlight w:val="none"/>
        </w:rPr>
        <w:t xml:space="preserve">五、产权担保</w:t>
      </w:r>
      <w:r/>
    </w:p>
    <w:p>
      <w:pPr>
        <w:ind w:firstLine="480"/>
        <w:spacing w:line="400" w:lineRule="exac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5.1 乙方保证所交付的货物（包含与货物相关的服务）的所有权完全属于乙方且无任何抵押、查封等产权瑕疵。</w:t>
      </w:r>
      <w:r/>
    </w:p>
    <w:p>
      <w:pPr>
        <w:ind w:firstLine="482"/>
        <w:spacing w:line="400" w:lineRule="exact"/>
        <w:rPr>
          <w:rFonts w:hint="eastAsia" w:asciiTheme="minorEastAsia" w:hAnsiTheme="minorEastAsia" w:eastAsiaTheme="minorEastAsia" w:cstheme="minorEastAsia"/>
          <w:b/>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b/>
          <w:sz w:val="24"/>
          <w:szCs w:val="24"/>
          <w:highlight w:val="none"/>
        </w:rPr>
        <w:t xml:space="preserve">六、履约</w:t>
      </w:r>
      <w:r>
        <w:rPr>
          <w:rFonts w:hint="eastAsia" w:asciiTheme="minorEastAsia" w:hAnsiTheme="minorEastAsia" w:eastAsiaTheme="minorEastAsia" w:cstheme="minorEastAsia"/>
          <w:b/>
          <w:sz w:val="24"/>
          <w:szCs w:val="24"/>
          <w:highlight w:val="none"/>
          <w:lang w:val="en-US" w:eastAsia="zh-CN"/>
        </w:rPr>
        <w:t xml:space="preserve">保函</w:t>
      </w:r>
      <w:r/>
    </w:p>
    <w:p>
      <w:pPr>
        <w:ind w:firstLine="480"/>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6.1乙方交纳人民币__</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 （合同总额的5%）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元作为本合同的履约</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保函(由银行或担保公司开具)</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。（不得超过合同金额的10%）</w:t>
      </w:r>
      <w:r/>
    </w:p>
    <w:p>
      <w:pPr>
        <w:ind w:firstLine="480"/>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6.2合同履行结束后，</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履约保函失效</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p>
      <w:pPr>
        <w:ind w:firstLine="480"/>
        <w:spacing w:line="400" w:lineRule="exact"/>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6.2.</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履约</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保函失效</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时间：监督检验部门验收合格并取证之日</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p>
    <w:p>
      <w:pPr>
        <w:ind w:firstLine="480"/>
        <w:spacing w:line="400" w:lineRule="exact"/>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6.2.</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履约</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保函赔付</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的情形：有重大质量问题</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验收不合格</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等</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p>
    <w:p>
      <w:pPr>
        <w:ind w:firstLine="482"/>
        <w:spacing w:line="40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七、合同转包或分包</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7.1乙方不得将合同标的转包给他人履行。</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7.3乙方如有转包或未经甲方同意的分包行为，甲方有权给予终止合同。</w:t>
      </w:r>
      <w:r/>
    </w:p>
    <w:p>
      <w:pPr>
        <w:ind w:firstLine="482"/>
        <w:spacing w:line="40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八、合同款项支付</w:t>
      </w:r>
      <w:r/>
    </w:p>
    <w:p>
      <w:pPr>
        <w:ind w:firstLine="480"/>
        <w:spacing w:line="400" w:lineRule="exac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8.1合同款项的支付方式及进度安排</w:t>
      </w:r>
      <w:r/>
    </w:p>
    <w:p>
      <w:pPr>
        <w:ind w:firstLine="480"/>
        <w:spacing w:line="400" w:lineRule="exac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lang w:eastAsia="zh-CN"/>
        </w:rPr>
        <w:t xml:space="preserve">8.</w:t>
      </w:r>
      <w:r>
        <w:rPr>
          <w:rFonts w:hint="eastAsia" w:asciiTheme="minorEastAsia" w:hAnsiTheme="minorEastAsia" w:eastAsiaTheme="minorEastAsia" w:cstheme="minorEastAsia"/>
          <w:bCs/>
          <w:sz w:val="24"/>
          <w:szCs w:val="24"/>
          <w:highlight w:val="none"/>
        </w:rPr>
        <w:t xml:space="preserve">1.1预付款支付时间：合同签订后，预付款支付比例：合同金额的</w:t>
      </w:r>
      <w:r>
        <w:rPr>
          <w:rFonts w:hint="eastAsia" w:asciiTheme="minorEastAsia" w:hAnsiTheme="minorEastAsia" w:eastAsiaTheme="minorEastAsia" w:cstheme="minorEastAsia"/>
          <w:bCs/>
          <w:sz w:val="24"/>
          <w:szCs w:val="24"/>
          <w:highlight w:val="none"/>
          <w:lang w:val="en-US" w:eastAsia="zh-CN"/>
        </w:rPr>
        <w:t xml:space="preserve">30</w:t>
      </w:r>
      <w:r>
        <w:rPr>
          <w:rFonts w:hint="eastAsia" w:asciiTheme="minorEastAsia" w:hAnsiTheme="minorEastAsia" w:eastAsiaTheme="minorEastAsia" w:cstheme="minorEastAsia"/>
          <w:bCs/>
          <w:sz w:val="24"/>
          <w:szCs w:val="24"/>
          <w:highlight w:val="none"/>
        </w:rPr>
        <w:t xml:space="preserve">%。</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8.1.2尾款支付时间：货到现场，</w:t>
      </w:r>
      <w:r>
        <w:rPr>
          <w:rFonts w:hint="eastAsia" w:asciiTheme="minorEastAsia" w:hAnsiTheme="minorEastAsia" w:eastAsiaTheme="minorEastAsia" w:cstheme="minorEastAsia"/>
          <w:bCs/>
          <w:sz w:val="24"/>
          <w:szCs w:val="24"/>
          <w:highlight w:val="none"/>
          <w:lang w:val="en-US" w:eastAsia="zh-CN"/>
        </w:rPr>
        <w:t xml:space="preserve">甲方</w:t>
      </w:r>
      <w:r>
        <w:rPr>
          <w:rFonts w:hint="eastAsia" w:asciiTheme="minorEastAsia" w:hAnsiTheme="minorEastAsia" w:eastAsiaTheme="minorEastAsia" w:cstheme="minorEastAsia"/>
          <w:bCs/>
          <w:sz w:val="24"/>
          <w:szCs w:val="24"/>
          <w:highlight w:val="none"/>
        </w:rPr>
        <w:t xml:space="preserve">向中标方支付至合同价的70%；电梯安装结束并调试完毕，经</w:t>
      </w:r>
      <w:r>
        <w:rPr>
          <w:rFonts w:hint="eastAsia" w:asciiTheme="minorEastAsia" w:hAnsiTheme="minorEastAsia" w:eastAsiaTheme="minorEastAsia" w:cstheme="minorEastAsia"/>
          <w:bCs/>
          <w:sz w:val="24"/>
          <w:szCs w:val="24"/>
          <w:highlight w:val="none"/>
          <w:lang w:val="en-US" w:eastAsia="zh-CN"/>
        </w:rPr>
        <w:t xml:space="preserve">甲方</w:t>
      </w:r>
      <w:r>
        <w:rPr>
          <w:rFonts w:hint="eastAsia" w:asciiTheme="minorEastAsia" w:hAnsiTheme="minorEastAsia" w:eastAsiaTheme="minorEastAsia" w:cstheme="minorEastAsia"/>
          <w:bCs/>
          <w:sz w:val="24"/>
          <w:szCs w:val="24"/>
          <w:highlight w:val="none"/>
        </w:rPr>
        <w:t xml:space="preserve">验收通过、江苏省特种设备安全监督检验研究院无锡分院验收合格后30天内向</w:t>
      </w:r>
      <w:r>
        <w:rPr>
          <w:rFonts w:hint="eastAsia" w:asciiTheme="minorEastAsia" w:hAnsiTheme="minorEastAsia" w:eastAsiaTheme="minorEastAsia" w:cstheme="minorEastAsia"/>
          <w:bCs/>
          <w:sz w:val="24"/>
          <w:szCs w:val="24"/>
          <w:highlight w:val="none"/>
          <w:lang w:val="en-US" w:eastAsia="zh-CN"/>
        </w:rPr>
        <w:t xml:space="preserve">乙方</w:t>
      </w:r>
      <w:r>
        <w:rPr>
          <w:rFonts w:hint="eastAsia" w:asciiTheme="minorEastAsia" w:hAnsiTheme="minorEastAsia" w:eastAsiaTheme="minorEastAsia" w:cstheme="minorEastAsia"/>
          <w:bCs/>
          <w:sz w:val="24"/>
          <w:szCs w:val="24"/>
          <w:highlight w:val="none"/>
        </w:rPr>
        <w:t xml:space="preserve">支付至合同价的80%；经结算审计结束后，支付至审定价的97%；质保期满后付清余款。</w:t>
      </w:r>
      <w:r/>
    </w:p>
    <w:p>
      <w:pPr>
        <w:spacing w:line="400" w:lineRule="exac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（注：根据《关于做好政府采购支持企业发展有关事项的通知》（苏采购</w:t>
      </w:r>
      <w:r>
        <w:rPr>
          <w:rFonts w:hint="eastAsia" w:asciiTheme="minorEastAsia" w:hAnsiTheme="minorEastAsia" w:eastAsiaTheme="minorEastAsia" w:cstheme="minorEastAsia"/>
          <w:bCs/>
          <w:sz w:val="24"/>
          <w:szCs w:val="24"/>
          <w:highlight w:val="none"/>
          <w:lang w:eastAsia="zh-CN"/>
        </w:rPr>
        <w:t xml:space="preserve">〔2020〕52号</w:t>
      </w:r>
      <w:r>
        <w:rPr>
          <w:rFonts w:hint="eastAsia" w:asciiTheme="minorEastAsia" w:hAnsiTheme="minorEastAsia" w:eastAsiaTheme="minorEastAsia" w:cstheme="minorEastAsia"/>
          <w:bCs/>
          <w:sz w:val="24"/>
          <w:szCs w:val="24"/>
          <w:highlight w:val="none"/>
        </w:rPr>
        <w:t xml:space="preserve">）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firstLine="480"/>
        <w:spacing w:line="400" w:lineRule="exac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8.2</w:t>
      </w:r>
      <w:r>
        <w:rPr>
          <w:rFonts w:hint="eastAsia" w:asciiTheme="minorEastAsia" w:hAnsiTheme="minorEastAsia" w:eastAsiaTheme="minorEastAsia" w:cstheme="minorEastAsia"/>
          <w:sz w:val="24"/>
          <w:szCs w:val="24"/>
          <w:highlight w:val="none"/>
        </w:rPr>
        <w:t xml:space="preserve">当采购数量与实际使用数量不一致时，乙方应根据实际使用量供货，合同的最终结算金额按实际使用量乘以成交单价进行计算。</w:t>
      </w:r>
      <w:r/>
    </w:p>
    <w:p>
      <w:pPr>
        <w:ind w:firstLine="482"/>
        <w:spacing w:line="40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九、税费</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9.1本合同执行中相关的一切税费均由乙方负担。</w:t>
      </w:r>
      <w:r/>
    </w:p>
    <w:p>
      <w:pPr>
        <w:ind w:firstLine="482"/>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 xml:space="preserve">十、质量保修范围和保修期及售后服务</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10.1 乙方应按招标文件规定的货物性能、技术要求、质量标准向甲方提供未经使用的全新产品。</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10.2 乙方提供的货物在质量期内因货物本身的质量问题发生故障，乙方应负责免费更换。对达不到技术要求者，根据实际情况，经双方协商，可按以下办法处理：</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⑴更换：由乙方承担所发生的全部费用。</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⑵贬值处理：由甲乙双方合议定价。</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⑶退货处理：乙方应退还甲方支付的合同款，同时应承担该货物的直接费用（运输、保险、检验、贷款利息及银行手续费等）。</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10.3 如在使用过程中发生质量问题，乙方在接到甲方通知后在_</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_小时内到达甲方现场。</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10.4 在质保期内，乙方应对货物出现的质量及安全问题负责处理解决并承担一切费用。</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10.5上述的货物免费保修期为</w:t>
      </w:r>
      <w:r>
        <w:rPr>
          <w:rFonts w:hint="eastAsia" w:asciiTheme="minorEastAsia" w:hAnsiTheme="minorEastAsia" w:eastAsiaTheme="minorEastAsia" w:cstheme="minorEastAsia"/>
          <w:sz w:val="24"/>
          <w:szCs w:val="24"/>
          <w:highlight w:val="none"/>
          <w:u w:val="single"/>
          <w:lang w:val="en-US" w:eastAsia="zh-CN"/>
        </w:rPr>
        <w:t xml:space="preserve"> 2 </w:t>
      </w:r>
      <w:r>
        <w:rPr>
          <w:rFonts w:hint="eastAsia" w:asciiTheme="minorEastAsia" w:hAnsiTheme="minorEastAsia" w:eastAsiaTheme="minorEastAsia" w:cstheme="minorEastAsia"/>
          <w:sz w:val="24"/>
          <w:szCs w:val="24"/>
          <w:highlight w:val="none"/>
        </w:rPr>
        <w:t xml:space="preserve">年（自交货验收合格之日起计），因人为因素出现的故障不在免费保修范围内。超过保修期的机器设备，终身维修，维修时只收部件成本费。</w:t>
      </w:r>
      <w:r/>
    </w:p>
    <w:p>
      <w:pPr>
        <w:ind w:firstLine="482"/>
        <w:spacing w:line="40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十一、项目验收</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11.1 甲方依法组织履约验收工作。</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11.3 对于实际使用人和甲方分离的项目，甲方邀请实际使用人参与验收。</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11.4 如有必要，甲方邀请参加本项目的其他供应商或第三方专业机构及专家参与验收，相关意见将作为验收书的参考资料。</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spacing w:line="40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十二、货物的包装、发运及运输</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12.2使用说明书、质量检验证明书、随配附件和工具以及清单一并附于货物内。</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12.3 乙方在货物发运手续办理完毕后24小时内或货到甲方48小时前通知甲方，以准备接货。</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12.4 货物在交付甲方前发生的风险均由乙方负责。</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12.5货物在规定的交付期限内由乙方送达甲方指定的地点视为交付，乙方同时需通知甲方货物已送达。</w:t>
      </w:r>
      <w:r/>
    </w:p>
    <w:p>
      <w:pPr>
        <w:ind w:firstLine="482"/>
        <w:spacing w:line="40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十三、违约责任</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13.1 甲方无正当理由拒收货物的，甲方向乙方偿付拒收货款总值的违约金。</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13.2 甲方无故逾期验收和办理货款支付手续的，甲方应按逾期付款总额每日向乙方支付违约金。</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的违约金，如造成甲方损失超过违约金的，超出部分由乙方继续承担赔偿责任。 </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十四、不可抗力事件处理</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14.1 在合同有效期内，任何一方因不可抗力事件导致不能履行合同，则合同履行期可延长，其延长期与不可抗力影响期相同。</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14.2不可抗力事件发生后，应立即通知对方，并寄送有关权威机构出具的证明。</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14.3 不可抗力事件延续120天以上，双方应通过友好协商，确定是否继续履行合同。</w:t>
      </w:r>
      <w:r/>
    </w:p>
    <w:p>
      <w:pPr>
        <w:ind w:firstLine="482"/>
        <w:spacing w:line="40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十五、解决争议的方法</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15.1甲乙双方因合同签订、履行而发生的一切争议，应通过友好协商解决。如协商不成由甲方住所地人民法院管辖。</w:t>
      </w:r>
      <w:r/>
    </w:p>
    <w:p>
      <w:pPr>
        <w:ind w:firstLine="482"/>
        <w:spacing w:line="40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十六、合同生效及其他</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16.1 合同经双方法定代表人或授权委托代表人签字并加盖单位公章后生效。</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16.2本合同未尽事宜，遵照《民法典》《政府采购法》有关条文执行。</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16.3 本合同正本一式两份，具有同等法律效力，甲方、乙方各执一份。</w:t>
      </w:r>
      <w:r/>
    </w:p>
    <w:p>
      <w:pPr>
        <w:ind w:left="480" w:hanging="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甲方：                        乙方： </w:t>
      </w:r>
      <w:r/>
    </w:p>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地址：                       地址： </w:t>
      </w:r>
      <w:r/>
    </w:p>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法定代表人或授权代表：        法定代表人或授权代表：</w:t>
      </w:r>
      <w:r/>
    </w:p>
    <w:p>
      <w:pPr>
        <w:ind w:firstLine="240"/>
        <w:spacing w:line="40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 w:val="24"/>
          <w:szCs w:val="24"/>
          <w:highlight w:val="none"/>
        </w:rPr>
        <w:t xml:space="preserve">联系电话：                    联系电话：          </w:t>
      </w:r>
      <w:r/>
    </w:p>
    <w:p>
      <w:pPr>
        <w:jc w:val="cente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jc w:val="cente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480"/>
        <w:spacing w:line="400" w:lineRule="exac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rPr>
        <w:t xml:space="preserve">签订日期：      年  月  日</w:t>
      </w:r>
      <w:r/>
    </w:p>
    <w:p>
      <w:pPr>
        <w:pStyle w:val="1022"/>
        <w:jc w:val="center"/>
        <w:spacing w:before="156"/>
        <w:rPr>
          <w:rFonts w:ascii="黑体" w:hAnsi="黑体" w:eastAsia="黑体"/>
          <w:color w:val="000000" w:themeColor="text1"/>
          <w:sz w:val="28"/>
          <w:szCs w:val="28"/>
          <w14:textFill>
            <w14:solidFill>
              <w14:schemeClr w14:val="tx1"/>
            </w14:solidFill>
          </w14:textFill>
        </w:rPr>
      </w:pPr>
      <w:r>
        <w:rPr>
          <w:rFonts w:ascii="宋体" w:hAnsi="宋体"/>
          <w:color w:val="000000"/>
          <w:sz w:val="21"/>
          <w:szCs w:val="21"/>
          <w:u w:val="single"/>
        </w:rPr>
        <w:br w:type="page" w:clear="all"/>
      </w:r>
      <w:bookmarkEnd w:id="26"/>
      <w:r>
        <w:rPr>
          <w:rFonts w:hint="eastAsia" w:ascii="黑体" w:hAnsi="黑体" w:eastAsia="黑体"/>
          <w:color w:val="000000" w:themeColor="text1"/>
          <w:sz w:val="28"/>
          <w:szCs w:val="28"/>
          <w14:textFill>
            <w14:solidFill>
              <w14:schemeClr w14:val="tx1"/>
            </w14:solidFill>
          </w14:textFill>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1. </w:t>
      </w:r>
      <w:r>
        <w:rPr>
          <w:rFonts w:hint="eastAsia" w:ascii="宋体" w:hAnsi="宋体" w:eastAsia="宋体" w:cs="宋体"/>
          <w:b/>
          <w:bCs/>
          <w:color w:val="000000" w:themeColor="text1"/>
          <w:sz w:val="24"/>
          <w14:textFill>
            <w14:solidFill>
              <w14:schemeClr w14:val="tx1"/>
            </w14:solidFill>
          </w14:textFill>
        </w:rPr>
        <w:t xml:space="preserve">定义</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1.1合同当事人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（3）其他合同主体是指除采购人和供应商以外，</w:t>
      </w:r>
      <w:r>
        <w:rPr>
          <w:rFonts w:hint="eastAsia" w:ascii="宋体" w:hAnsi="宋体" w:eastAsia="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eastAsia="宋体" w:cs="宋体"/>
          <w:color w:val="000000" w:themeColor="text1"/>
          <w:szCs w:val="2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1.2本合同下列术语应解释为：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（1）“合同”系指</w:t>
      </w:r>
      <w:r>
        <w:rPr>
          <w:rFonts w:hint="eastAsia" w:ascii="宋体" w:hAnsi="宋体" w:eastAsia="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eastAsia="宋体" w:cs="宋体"/>
          <w:color w:val="000000" w:themeColor="text1"/>
          <w:szCs w:val="21"/>
          <w14:textFill>
            <w14:solidFill>
              <w14:schemeClr w14:val="tx1"/>
            </w14:solidFill>
          </w14:textFill>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（3）“货物”系指乙方根据本合同规定须向甲方提供的各种形态和种类的物品，包括原材料、设备、产品（包括软件）及相关的其备品备件、工具、手册及其他技术资料和材料等。</w:t>
      </w:r>
      <w:r/>
    </w:p>
    <w:p>
      <w:pPr>
        <w:ind w:firstLine="420"/>
        <w:jc w:val="left"/>
        <w:spacing w:line="400" w:lineRule="exact"/>
        <w:rPr>
          <w:rFonts w:ascii="宋体" w:hAnsi="宋体" w:eastAsia="宋体" w:cs="宋体"/>
          <w:color w:val="000000" w:themeColor="text1"/>
          <w:szCs w:val="21"/>
          <w:highlight w:val="yellow"/>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spacing w:line="400" w:lineRule="exact"/>
        <w:rPr>
          <w:rFonts w:ascii="宋体" w:hAnsi="宋体" w:eastAsia="宋体" w:cs="宋体"/>
          <w:color w:val="000000" w:themeColor="text1"/>
          <w:szCs w:val="21"/>
          <w:highlight w:val="yellow"/>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（7）其他术语解释，见【</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w:t>
      </w:r>
      <w:r/>
    </w:p>
    <w:p>
      <w:pPr>
        <w:numPr>
          <w:ilvl w:val="0"/>
          <w:numId w:val="4"/>
        </w:num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合同标的及金额</w:t>
      </w:r>
      <w:r/>
    </w:p>
    <w:p>
      <w:pPr>
        <w:ind w:firstLine="420"/>
        <w:jc w:val="left"/>
        <w:spacing w:line="400" w:lineRule="exact"/>
        <w:rPr>
          <w:rFonts w:ascii="宋体" w:hAnsi="宋体" w:eastAsia="宋体" w:cs="宋体"/>
          <w:b/>
          <w:bCs/>
          <w:i/>
          <w:iCs/>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2.1 合同标的及金额应与中标（成交）结果一致。乙方为履行本合同而发生的所有费用均应包含在合同价款中，甲方不再另行支付其他任何费用。</w:t>
      </w:r>
      <w:r/>
    </w:p>
    <w:p>
      <w:p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3. 履行合同的时间、地点和方式</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 乙方应当在约定的时间、地点，按照约定方式履行合同。</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4. 甲方的权利和义务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4.3 甲方有权要求乙方对缺陷部分予以修复，并按合同约定享有货物保修及其他合同约定的权利。</w:t>
      </w:r>
      <w:r/>
    </w:p>
    <w:p>
      <w:pPr>
        <w:ind w:firstLine="420"/>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4.4 甲方应当按照合同约定及时对交付的货物进行验收，未在</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约定的期限内对乙方履约提出任何异议或者向乙方作出任何说明的，视为验收通过。</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4.6 国家法律法规规定及</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约定应由甲方承担的其他义务和责任。</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5. 乙方的权利和义务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5.1 签署合同后，乙方应确定项目负责人（或项目联系人），负责与本合同有关的事务。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037"/>
        <w:ind w:firstLine="422"/>
        <w:spacing w:line="400" w:lineRule="exact"/>
        <w:rPr>
          <w:color w:val="000000" w:themeColor="text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 xml:space="preserve">5.3</w:t>
      </w:r>
      <w:r>
        <w:rPr>
          <w:rFonts w:hint="eastAsia"/>
          <w:color w:val="000000" w:themeColor="text1"/>
          <w:sz w:val="21"/>
          <w:szCs w:val="21"/>
          <w:lang w:eastAsia="zh-CN"/>
          <w14:textFill>
            <w14:solidFill>
              <w14:schemeClr w14:val="tx1"/>
            </w14:solidFill>
          </w14:textFill>
        </w:rPr>
        <w:t xml:space="preserve">乙方有权根据合同约定向甲方收取合同价款。</w:t>
      </w:r>
      <w:r/>
    </w:p>
    <w:p>
      <w:pPr>
        <w:pStyle w:val="1037"/>
        <w:ind w:firstLine="422"/>
        <w:spacing w:line="400" w:lineRule="exact"/>
        <w:rPr>
          <w:color w:val="000000" w:themeColor="text1"/>
          <w:sz w:val="2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 xml:space="preserve">5.4</w:t>
      </w:r>
      <w:r>
        <w:rPr>
          <w:rFonts w:hint="eastAsia"/>
          <w:color w:val="000000" w:themeColor="text1"/>
          <w:sz w:val="21"/>
          <w:szCs w:val="21"/>
          <w:lang w:eastAsia="zh-CN"/>
          <w14:textFill>
            <w14:solidFill>
              <w14:schemeClr w14:val="tx1"/>
            </w14:solidFill>
          </w14:textFill>
        </w:rPr>
        <w:t xml:space="preserve">国家法律法规规定及【政府采购合同专用条款】约定应由乙方承担的其他义务和责任。</w:t>
      </w:r>
      <w:r/>
    </w:p>
    <w:p>
      <w:pPr>
        <w:numPr>
          <w:ilvl w:val="0"/>
          <w:numId w:val="5"/>
        </w:num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合同履行</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6.1 甲乙双方应当按照</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约定顺序履行合同义务；如果没有先后顺序的，应当同时履行。</w:t>
      </w:r>
      <w:r/>
    </w:p>
    <w:p>
      <w:pPr>
        <w:ind w:firstLine="420"/>
        <w:jc w:val="left"/>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7. 货物包装、运输、保险和交付要求</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7.1 本合同</w:t>
      </w:r>
      <w:r>
        <w:rPr>
          <w:rFonts w:hint="eastAsia" w:ascii="宋体" w:hAnsi="宋体" w:eastAsia="宋体" w:cs="宋体"/>
          <w:bCs/>
          <w:color w:val="000000" w:themeColor="text1"/>
          <w:szCs w:val="21"/>
          <w14:textFill>
            <w14:solidFill>
              <w14:schemeClr w14:val="tx1"/>
            </w14:solidFill>
          </w14:textFill>
        </w:rPr>
        <w:t xml:space="preserve">涉及商品包装、快递包装的，</w:t>
      </w:r>
      <w:r>
        <w:rPr>
          <w:rFonts w:hint="eastAsia" w:ascii="宋体" w:hAnsi="宋体" w:eastAsia="宋体" w:cs="宋体"/>
          <w:color w:val="000000" w:themeColor="text1"/>
          <w:szCs w:val="21"/>
          <w14:textFill>
            <w14:solidFill>
              <w14:schemeClr w14:val="tx1"/>
            </w14:solidFill>
          </w14:textFill>
        </w:rPr>
        <w:t xml:space="preserve">除</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另有约定外，</w:t>
      </w:r>
      <w:r>
        <w:rPr>
          <w:rFonts w:hint="eastAsia" w:ascii="宋体" w:hAnsi="宋体" w:eastAsia="宋体" w:cs="宋体"/>
          <w:color w:val="000000" w:themeColor="text1"/>
          <w:szCs w:val="21"/>
          <w14:textFill>
            <w14:solidFill>
              <w14:schemeClr w14:val="tx1"/>
            </w14:solidFill>
          </w14:textFill>
        </w:rPr>
        <w:t xml:space="preserve">包装应适应远距离运输、防潮、防震、防锈和防野蛮装卸等要求，确保货物安全无损地运抵</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约定的</w:t>
      </w:r>
      <w:r>
        <w:rPr>
          <w:rFonts w:hint="eastAsia" w:ascii="宋体" w:hAnsi="宋体" w:eastAsia="宋体" w:cs="宋体"/>
          <w:color w:val="000000" w:themeColor="text1"/>
          <w:szCs w:val="21"/>
          <w14:textFill>
            <w14:solidFill>
              <w14:schemeClr w14:val="tx1"/>
            </w14:solidFill>
          </w14:textFill>
        </w:rPr>
        <w:t xml:space="preserve">指定现场。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7.2 除</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另有约定外，</w:t>
      </w:r>
      <w:r>
        <w:rPr>
          <w:rFonts w:hint="eastAsia" w:ascii="宋体" w:hAnsi="宋体" w:eastAsia="宋体" w:cs="宋体"/>
          <w:color w:val="000000" w:themeColor="text1"/>
          <w:szCs w:val="21"/>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7.3 货物保险要求按</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规定执行</w:t>
      </w:r>
      <w:r>
        <w:rPr>
          <w:rFonts w:hint="eastAsia" w:ascii="宋体" w:hAnsi="宋体" w:eastAsia="宋体" w:cs="宋体"/>
          <w:color w:val="000000" w:themeColor="text1"/>
          <w:szCs w:val="21"/>
          <w14:textFill>
            <w14:solidFill>
              <w14:schemeClr w14:val="tx1"/>
            </w14:solidFill>
          </w14:textFill>
        </w:rPr>
        <w:t xml:space="preserve">。</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7.4 除采购活动对商品包装、快递包装达成具体约定外，乙方提供产品及相关快递服务</w:t>
      </w:r>
      <w:r>
        <w:rPr>
          <w:rFonts w:hint="eastAsia" w:ascii="宋体" w:hAnsi="宋体" w:eastAsia="宋体" w:cs="宋体"/>
          <w:color w:val="000000" w:themeColor="text1"/>
          <w:szCs w:val="21"/>
          <w:lang w:eastAsia="zh-CN"/>
          <w14:textFill>
            <w14:solidFill>
              <w14:schemeClr w14:val="tx1"/>
            </w14:solidFill>
          </w14:textFill>
        </w:rPr>
        <w:t xml:space="preserve">涉及</w:t>
      </w:r>
      <w:r>
        <w:rPr>
          <w:rFonts w:hint="eastAsia" w:ascii="宋体" w:hAnsi="宋体" w:eastAsia="宋体" w:cs="宋体"/>
          <w:color w:val="000000" w:themeColor="text1"/>
          <w:szCs w:val="21"/>
          <w14:textFill>
            <w14:solidFill>
              <w14:schemeClr w14:val="tx1"/>
            </w14:solidFill>
          </w14:textFill>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7.5 乙方在运输到达之前应提前通知甲方，并提示货物运输装卸的注意事项，甲方配合乙方做好货物的接收工作。</w:t>
      </w:r>
      <w:r/>
    </w:p>
    <w:p>
      <w:pPr>
        <w:pStyle w:val="1090"/>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8. 质量标准和保证</w:t>
      </w:r>
      <w:r/>
    </w:p>
    <w:p>
      <w:pPr>
        <w:pStyle w:val="1043"/>
        <w:ind w:firstLine="420"/>
        <w:jc w:val="left"/>
        <w:spacing w:line="400" w:lineRule="exact"/>
        <w:rPr>
          <w:rFonts w:hAnsi="宋体" w:eastAsia="宋体" w:cs="宋体"/>
          <w:b/>
          <w:color w:val="000000" w:themeColor="text1"/>
          <w14:textFill>
            <w14:solidFill>
              <w14:schemeClr w14:val="tx1"/>
            </w14:solidFill>
          </w14:textFill>
        </w:rPr>
      </w:pPr>
      <w:r>
        <w:rPr>
          <w:rFonts w:hint="eastAsia" w:hAnsi="宋体" w:eastAsia="宋体" w:cs="宋体"/>
          <w:color w:val="000000" w:themeColor="text1"/>
          <w14:textFill>
            <w14:solidFill>
              <w14:schemeClr w14:val="tx1"/>
            </w14:solidFill>
          </w14:textFill>
        </w:rPr>
        <w:t xml:space="preserve">8.1 质量标准</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43"/>
        <w:ind w:firstLine="420"/>
        <w:jc w:val="left"/>
        <w:spacing w:line="400" w:lineRule="exact"/>
        <w:rPr>
          <w:rFonts w:hAnsi="宋体" w:eastAsia="宋体" w:cs="宋体"/>
          <w:color w:val="000000" w:themeColor="text1"/>
          <w14:textFill>
            <w14:solidFill>
              <w14:schemeClr w14:val="tx1"/>
            </w14:solidFill>
          </w14:textFill>
        </w:rPr>
      </w:pPr>
      <w:r>
        <w:rPr>
          <w:rFonts w:hint="eastAsia" w:hAnsi="宋体" w:eastAsia="宋体" w:cs="宋体"/>
          <w:color w:val="000000" w:themeColor="text1"/>
          <w14:textFill>
            <w14:solidFill>
              <w14:schemeClr w14:val="tx1"/>
            </w14:solidFill>
          </w14:textFill>
        </w:rPr>
        <w:t xml:space="preserve">（2）采用中华人民共和国法定计量单位。</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（3）乙方所提供的货物应符合国家有关安全、环保、卫生的规定。</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8.2 保证</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规定或乙方书面承诺（两者以较长的为准）的质量保证期内，本保证保持有效。</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（2）在质量保证期内所发现的缺陷，甲方应尽快以书面形式通知乙方。</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（3）乙方收到通知后，应在</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规定的响应时间内以合理的速度免费维修或更换有缺陷的货物或部件。</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9. 权利瑕疵担保</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9.1 乙方保证对其出售的货物享有合法的权利。</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9.2 </w:t>
      </w:r>
      <w:r>
        <w:rPr>
          <w:rFonts w:hint="eastAsia" w:ascii="宋体" w:hAnsi="宋体" w:eastAsia="宋体" w:cs="宋体"/>
          <w:color w:val="000000" w:themeColor="text1"/>
          <w:szCs w:val="15"/>
          <w14:textFill>
            <w14:solidFill>
              <w14:schemeClr w14:val="tx1"/>
            </w14:solidFill>
          </w14:textFill>
        </w:rPr>
        <w:t xml:space="preserve">乙方保证在交付的货物上不存在抵押权等担保物权。</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9.3 如甲方使用上述货物构成对第三人侵权的，则由乙方承担全部责任。</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10. 知识产权保护</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10.1 乙方对其所销售的货物应当享有知识产权或经权利人合法授权，保证没有侵犯任何第三人的知识产权等权利。</w:t>
      </w:r>
      <w:bookmarkStart w:id="27" w:name="_Hlk163047038"/>
      <w:r>
        <w:rPr>
          <w:rFonts w:hint="eastAsia" w:ascii="宋体" w:hAnsi="宋体" w:eastAsia="宋体" w:cs="宋体"/>
          <w:color w:val="000000" w:themeColor="text1"/>
          <w:szCs w:val="15"/>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bookmarkEnd w:id="27"/>
      <w:r>
        <w:rPr>
          <w:rFonts w:hint="eastAsia" w:ascii="宋体" w:hAnsi="宋体" w:eastAsia="宋体" w:cs="宋体"/>
          <w:color w:val="000000" w:themeColor="text1"/>
          <w:szCs w:val="21"/>
          <w14:textFill>
            <w14:solidFill>
              <w14:schemeClr w14:val="tx1"/>
            </w14:solidFill>
          </w14:textFill>
        </w:rPr>
        <w:t xml:space="preserve">。</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11. 保密义务</w:t>
      </w:r>
      <w:r/>
    </w:p>
    <w:p>
      <w:pPr>
        <w:ind w:firstLine="420"/>
        <w:jc w:val="left"/>
        <w:spacing w:line="400" w:lineRule="exact"/>
        <w:rPr>
          <w:rFonts w:ascii="宋体" w:hAnsi="宋体" w:eastAsia="宋体" w:cs="宋体"/>
          <w:color w:val="000000" w:themeColor="text1"/>
          <w:szCs w:val="15"/>
          <w14:textFill>
            <w14:solidFill>
              <w14:schemeClr w14:val="tx1"/>
            </w14:solidFill>
          </w14:textFill>
        </w:rPr>
      </w:pPr>
      <w:r>
        <w:rPr>
          <w:rFonts w:hint="eastAsia" w:ascii="宋体" w:hAnsi="宋体" w:eastAsia="宋体" w:cs="宋体"/>
          <w:color w:val="000000" w:themeColor="text1"/>
          <w:szCs w:val="15"/>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themeColor="text1"/>
          <w:szCs w:val="15"/>
          <w14:textFill>
            <w14:solidFill>
              <w14:schemeClr w14:val="tx1"/>
            </w14:solidFill>
          </w14:textFill>
        </w:rPr>
        <w:t xml:space="preserve">【政府采购合同专用条款】</w:t>
      </w:r>
      <w:r>
        <w:rPr>
          <w:rFonts w:hint="eastAsia" w:ascii="宋体" w:hAnsi="宋体" w:eastAsia="宋体" w:cs="宋体"/>
          <w:color w:val="000000" w:themeColor="text1"/>
          <w:szCs w:val="15"/>
          <w14:textFill>
            <w14:solidFill>
              <w14:schemeClr w14:val="tx1"/>
            </w14:solidFill>
          </w14:textFill>
        </w:rPr>
        <w:t xml:space="preserve">中约定。</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12. 合同价款支付</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12.1 合同价款支付按照国库集中支付制度及财政管理相关规定执行。</w:t>
      </w:r>
      <w:r/>
    </w:p>
    <w:p>
      <w:pPr>
        <w:ind w:firstLine="420"/>
        <w:spacing w:line="360" w:lineRule="auto"/>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12.2 </w:t>
      </w:r>
      <w:r>
        <w:rPr>
          <w:rFonts w:hint="eastAsia" w:ascii="宋体" w:hAnsi="宋体" w:eastAsia="宋体" w:cs="宋体"/>
          <w:color w:val="000000" w:themeColor="text1"/>
          <w:szCs w:val="21"/>
          <w14:textFill>
            <w14:solidFill>
              <w14:schemeClr w14:val="tx1"/>
            </w14:solidFill>
          </w14:textFill>
        </w:rPr>
        <w:t xml:space="preserve">供货完成且经采购人验收无质量问题后付至合同金额的90%，一年后付</w:t>
      </w:r>
      <w:r>
        <w:rPr>
          <w:rFonts w:hint="eastAsia" w:ascii="宋体" w:hAnsi="宋体" w:eastAsia="宋体" w:cs="宋体"/>
          <w:color w:val="000000" w:themeColor="text1"/>
          <w:szCs w:val="21"/>
          <w:lang w:val="en-US" w:eastAsia="zh-CN"/>
          <w14:textFill>
            <w14:solidFill>
              <w14:schemeClr w14:val="tx1"/>
            </w14:solidFill>
          </w14:textFill>
        </w:rPr>
        <w:t xml:space="preserve">至95%，质保期满后付清余款</w:t>
      </w:r>
      <w:r>
        <w:rPr>
          <w:rFonts w:hint="eastAsia" w:ascii="宋体" w:hAnsi="宋体" w:eastAsia="宋体" w:cs="宋体"/>
          <w:color w:val="000000" w:themeColor="text1"/>
          <w:szCs w:val="21"/>
          <w14:textFill>
            <w14:solidFill>
              <w14:schemeClr w14:val="tx1"/>
            </w14:solidFill>
          </w14:textFill>
        </w:rPr>
        <w:t xml:space="preserve">。采购人原则上应当自收到发票后10个工作日内将资金支付到合同约定的供应商账户。若中标人未能按期开具发票，采购人可顺延付款。</w:t>
      </w:r>
      <w:r/>
    </w:p>
    <w:p>
      <w:pPr>
        <w:ind w:firstLine="420"/>
        <w:spacing w:line="360" w:lineRule="auto"/>
        <w:tabs>
          <w:tab w:val="left" w:pos="-200" w:leader="none"/>
          <w:tab w:val="left" w:pos="525" w:leader="none"/>
          <w:tab w:val="left" w:pos="630" w:leader="none"/>
          <w:tab w:val="left" w:pos="735" w:leader="none"/>
          <w:tab w:val="left" w:pos="945" w:leader="none"/>
        </w:tabs>
        <w:rPr>
          <w:rFonts w:ascii="宋体" w:hAnsi="宋体" w:eastAsia="宋体" w:cs="宋体"/>
          <w:color w:val="000000" w:themeColor="text1"/>
          <w:szCs w:val="21"/>
          <w:highlight w:val="none"/>
          <w:u w:val="single"/>
          <w14:textFill>
            <w14:solidFill>
              <w14:schemeClr w14:val="tx1"/>
            </w14:solidFill>
          </w14:textFill>
        </w:rPr>
      </w:pPr>
      <w:r>
        <w:rPr>
          <w:rFonts w:ascii="宋体" w:hAnsi="宋体" w:eastAsia="宋体" w:cs="宋体"/>
          <w:color w:val="000000" w:themeColor="text1"/>
          <w:szCs w:val="21"/>
          <w:highlight w:val="none"/>
          <w:u w:val="single"/>
          <w14:textFill>
            <w14:solidFill>
              <w14:schemeClr w14:val="tx1"/>
            </w14:solidFill>
          </w14:textFill>
        </w:rPr>
      </w:r>
      <w:r/>
    </w:p>
    <w:p>
      <w:pPr>
        <w:pStyle w:val="1037"/>
        <w:spacing w:line="400" w:lineRule="exact"/>
        <w:rPr>
          <w:b/>
          <w:bCs/>
          <w:color w:val="000000" w:themeColor="text1"/>
          <w:lang w:eastAsia="zh-CN"/>
          <w14:textFill>
            <w14:solidFill>
              <w14:schemeClr w14:val="tx1"/>
            </w14:solidFill>
          </w14:textFill>
        </w:rPr>
      </w:pPr>
      <w:r>
        <w:rPr>
          <w:rFonts w:hint="eastAsia"/>
          <w:b/>
          <w:bCs/>
          <w:color w:val="000000" w:themeColor="text1"/>
          <w:lang w:eastAsia="zh-CN"/>
          <w14:textFill>
            <w14:solidFill>
              <w14:schemeClr w14:val="tx1"/>
            </w14:solidFill>
          </w14:textFill>
        </w:rPr>
        <w:t xml:space="preserve">13. 履约保证金</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13.1 </w:t>
      </w:r>
      <w:r>
        <w:rPr>
          <w:rFonts w:hint="eastAsia" w:ascii="宋体" w:hAnsi="宋体" w:eastAsia="宋体" w:cs="宋体"/>
          <w:color w:val="000000" w:themeColor="text1"/>
          <w:szCs w:val="15"/>
          <w14:textFill>
            <w14:solidFill>
              <w14:schemeClr w14:val="tx1"/>
            </w14:solidFill>
          </w14:textFill>
        </w:rPr>
        <w:t xml:space="preserve">乙方应当以支票、汇票、本票或者金融机构、担保机构出具的保函等非现金形式提交。</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13.2 如果乙方出现</w:t>
      </w:r>
      <w:r>
        <w:rPr>
          <w:rFonts w:hint="eastAsia" w:ascii="宋体" w:hAnsi="宋体" w:eastAsia="宋体" w:cs="宋体"/>
          <w:b/>
          <w:bCs/>
          <w:color w:val="000000" w:themeColor="text1"/>
          <w:szCs w:val="15"/>
          <w14:textFill>
            <w14:solidFill>
              <w14:schemeClr w14:val="tx1"/>
            </w14:solidFill>
          </w14:textFill>
        </w:rPr>
        <w:t xml:space="preserve">【政府采购合同专用条款】</w:t>
      </w:r>
      <w:r>
        <w:rPr>
          <w:rFonts w:hint="eastAsia" w:ascii="宋体" w:hAnsi="宋体" w:eastAsia="宋体" w:cs="宋体"/>
          <w:color w:val="000000" w:themeColor="text1"/>
          <w:szCs w:val="15"/>
          <w14:textFill>
            <w14:solidFill>
              <w14:schemeClr w14:val="tx1"/>
            </w14:solidFill>
          </w14:textFill>
        </w:rPr>
        <w:t xml:space="preserve">约定情形的</w:t>
      </w:r>
      <w:r>
        <w:rPr>
          <w:rFonts w:hint="eastAsia" w:ascii="宋体" w:hAnsi="宋体" w:eastAsia="宋体" w:cs="宋体"/>
          <w:color w:val="000000" w:themeColor="text1"/>
          <w:szCs w:val="21"/>
          <w14:textFill>
            <w14:solidFill>
              <w14:schemeClr w14:val="tx1"/>
            </w14:solidFill>
          </w14:textFill>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13.3 甲方在项目通过验收后按照</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规定的时间内将履约保证金退还乙方；逾期退还的，乙方可要求甲方支付违约金，违约金按照</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规定支付。</w:t>
      </w:r>
      <w:r/>
    </w:p>
    <w:p>
      <w:p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14. </w:t>
      </w:r>
      <w:r>
        <w:rPr>
          <w:rFonts w:hint="eastAsia" w:ascii="宋体" w:hAnsi="宋体" w:eastAsia="宋体" w:cs="宋体"/>
          <w:b/>
          <w:color w:val="000000" w:themeColor="text1"/>
          <w:sz w:val="24"/>
          <w14:textFill>
            <w14:solidFill>
              <w14:schemeClr w14:val="tx1"/>
            </w14:solidFill>
          </w14:textFill>
        </w:rPr>
        <w:t xml:space="preserve">售后服务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14.1 除项目不涉及或采购活动中明确约定无须承担外，乙方还应提供下列服务：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（1）货物的现场移动、安装、调试、启动监督及技术支持；</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（2）提供货物组装和维修所需的专用工具和辅助材料；</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（3）在</w:t>
      </w:r>
      <w:r>
        <w:rPr>
          <w:rFonts w:hint="eastAsia" w:ascii="宋体" w:hAnsi="宋体" w:eastAsia="宋体" w:cs="宋体"/>
          <w:b/>
          <w:bCs/>
          <w:color w:val="000000" w:themeColor="text1"/>
          <w:szCs w:val="15"/>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（4）在制造商所在地或指定现场就货物的安装、启动、运营、维护、废弃处置等对甲方操作人员进行培训</w:t>
      </w:r>
      <w:r>
        <w:rPr>
          <w:rFonts w:hint="eastAsia" w:ascii="宋体" w:hAnsi="宋体" w:eastAsia="宋体" w:cs="宋体"/>
          <w:color w:val="000000" w:themeColor="text1"/>
          <w:szCs w:val="15"/>
          <w14:textFill>
            <w14:solidFill>
              <w14:schemeClr w14:val="tx1"/>
            </w14:solidFill>
          </w14:textFill>
        </w:rPr>
        <w:t xml:space="preserve">；</w:t>
      </w:r>
      <w:r/>
    </w:p>
    <w:p>
      <w:pPr>
        <w:pStyle w:val="1090"/>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（5）依照法律、行政法规的规定或者按照</w:t>
      </w:r>
      <w:r>
        <w:rPr>
          <w:rFonts w:hint="eastAsia" w:ascii="宋体" w:hAnsi="宋体" w:eastAsia="宋体" w:cs="宋体"/>
          <w:b/>
          <w:bCs/>
          <w:color w:val="000000" w:themeColor="text1"/>
          <w:sz w:val="21"/>
          <w14:textFill>
            <w14:solidFill>
              <w14:schemeClr w14:val="tx1"/>
            </w14:solidFill>
          </w14:textFill>
        </w:rPr>
        <w:t xml:space="preserve">【政府采购合同专用条款】</w:t>
      </w:r>
      <w:r>
        <w:rPr>
          <w:rFonts w:hint="eastAsia" w:ascii="宋体" w:hAnsi="宋体" w:eastAsia="宋体" w:cs="宋体"/>
          <w:color w:val="000000" w:themeColor="text1"/>
          <w:sz w:val="21"/>
          <w14:textFill>
            <w14:solidFill>
              <w14:schemeClr w14:val="tx1"/>
            </w14:solidFill>
          </w14:textFill>
        </w:rPr>
        <w:t xml:space="preserve">约定，货物在有效使用年限届满后应予回收的，乙方负有自行或者委托第三人对货物予以回收的义务；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规定由乙方提供的其他服务。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14.2 乙方提供的售后服务的费用已包含在合同价款中，甲方不再另行支付。</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15. 违约责任</w:t>
      </w:r>
      <w:r/>
    </w:p>
    <w:p>
      <w:pPr>
        <w:ind w:firstLine="420"/>
        <w:jc w:val="left"/>
        <w:spacing w:line="400" w:lineRule="exact"/>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15.1质量瑕疵的违约责任</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乙方提供的产品不符合合同约定的质量标准或存在产品质量缺陷，甲方有权要求乙方根据</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要求</w:t>
      </w:r>
      <w:r>
        <w:rPr>
          <w:rFonts w:hint="eastAsia" w:ascii="宋体" w:hAnsi="宋体" w:eastAsia="宋体" w:cs="宋体"/>
          <w:color w:val="000000" w:themeColor="text1"/>
          <w:szCs w:val="21"/>
          <w14:textFill>
            <w14:solidFill>
              <w14:schemeClr w14:val="tx1"/>
            </w14:solidFill>
          </w14:textFill>
        </w:rPr>
        <w:t xml:space="preserve">及时修理、重作、更换，并承担由此给甲方造成的损失。</w:t>
      </w:r>
      <w:r/>
    </w:p>
    <w:p>
      <w:pPr>
        <w:ind w:firstLine="420"/>
        <w:jc w:val="left"/>
        <w:spacing w:line="400" w:lineRule="exact"/>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15.2 迟延交货的违约责任</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15.3 迟延支付的违约责任</w:t>
      </w:r>
      <w:r/>
    </w:p>
    <w:p>
      <w:pPr>
        <w:ind w:firstLine="420"/>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甲方存在迟延支付乙方合同款项的，应当承担</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规定的逾期付款利息。</w:t>
      </w:r>
      <w:r/>
    </w:p>
    <w:p>
      <w:pPr>
        <w:ind w:firstLine="420"/>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15.4其他违约责任根据项目实际需要按</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规定执行。</w:t>
      </w:r>
      <w:r/>
    </w:p>
    <w:p>
      <w:pPr>
        <w:pStyle w:val="1040"/>
        <w:ind w:left="0" w:firstLine="420"/>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p>
    <w:p>
      <w:pPr>
        <w:pStyle w:val="1040"/>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（1）需方内部工作安排、计划调整等自身原因；</w:t>
      </w:r>
      <w:r/>
    </w:p>
    <w:p>
      <w:pPr>
        <w:pStyle w:val="1040"/>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（2）中央、省、市、区级政策变动，以及规划、计划调整等外部原因；</w:t>
      </w:r>
      <w:r/>
    </w:p>
    <w:p>
      <w:pPr>
        <w:pStyle w:val="1040"/>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（3）其他需方原因。</w:t>
      </w:r>
      <w:r/>
    </w:p>
    <w:p>
      <w:pPr>
        <w:pStyle w:val="1040"/>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本合同对合同变更、中止或终止合同有其他特殊约定的，按该特殊约定执行。</w:t>
      </w:r>
      <w:r/>
    </w:p>
    <w:p>
      <w:pPr>
        <w:numPr>
          <w:ilvl w:val="0"/>
          <w:numId w:val="0"/>
        </w:num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lang w:val="en-US" w:eastAsia="zh-CN"/>
          <w14:textFill>
            <w14:solidFill>
              <w14:schemeClr w14:val="tx1"/>
            </w14:solidFill>
          </w14:textFill>
        </w:rPr>
        <w:t xml:space="preserve">16.</w:t>
      </w:r>
      <w:r>
        <w:rPr>
          <w:rFonts w:hint="eastAsia" w:ascii="宋体" w:hAnsi="宋体" w:eastAsia="宋体" w:cs="宋体"/>
          <w:b/>
          <w:color w:val="000000" w:themeColor="text1"/>
          <w:sz w:val="24"/>
          <w14:textFill>
            <w14:solidFill>
              <w14:schemeClr w14:val="tx1"/>
            </w14:solidFill>
          </w14:textFill>
        </w:rPr>
        <w:t xml:space="preserve">合同变更、中止与终止</w:t>
      </w:r>
      <w:r/>
    </w:p>
    <w:p>
      <w:pPr>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16.1合同的变更</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16.2合同的终止</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终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90"/>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（4）甲方不得以行政区划调整、政府换届、机构或者职能调整以及相关责任人更替为由终止合同。</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16.3合同的终止</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（1）合同因有效期限届满而终止；</w:t>
      </w:r>
      <w:r/>
    </w:p>
    <w:p>
      <w:pPr>
        <w:ind w:firstLine="420"/>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（2）乙方未按合同约定履行，构成根本性违约的，甲方有权终止合同，并追究乙方的违约责任。</w:t>
      </w:r>
      <w:r/>
    </w:p>
    <w:p>
      <w:pPr>
        <w:pStyle w:val="1090"/>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16.4 </w:t>
      </w:r>
      <w:r>
        <w:rPr>
          <w:rFonts w:hint="eastAsia" w:ascii="宋体" w:hAnsi="宋体" w:eastAsia="宋体" w:cs="宋体"/>
          <w:color w:val="000000" w:themeColor="text1"/>
          <w:sz w:val="21"/>
          <w14:textFill>
            <w14:solidFill>
              <w14:schemeClr w14:val="tx1"/>
            </w14:solidFill>
          </w14:textFill>
        </w:rPr>
        <w:t xml:space="preserve">涉及国家利益、社会公共利益的情形</w:t>
      </w:r>
      <w:r/>
    </w:p>
    <w:p>
      <w:pPr>
        <w:pStyle w:val="1090"/>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17. 合同分包</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18. 不可抗力</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18.1 不可抗力是指合同双方不能预见、不能避免且不能克服的客观情况。</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19. 解决争议的方法</w:t>
      </w:r>
      <w:r/>
    </w:p>
    <w:p>
      <w:pPr>
        <w:pStyle w:val="1090"/>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90"/>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19.2 选择仲裁的，应在</w:t>
      </w:r>
      <w:r>
        <w:rPr>
          <w:rFonts w:hint="eastAsia" w:ascii="宋体" w:hAnsi="宋体" w:eastAsia="宋体" w:cs="宋体"/>
          <w:b/>
          <w:bCs/>
          <w:color w:val="000000" w:themeColor="text1"/>
          <w:sz w:val="21"/>
          <w14:textFill>
            <w14:solidFill>
              <w14:schemeClr w14:val="tx1"/>
            </w14:solidFill>
          </w14:textFill>
        </w:rPr>
        <w:t xml:space="preserve">【政府采购合同专用条款】</w:t>
      </w:r>
      <w:r>
        <w:rPr>
          <w:rFonts w:hint="eastAsia" w:ascii="宋体" w:hAnsi="宋体" w:eastAsia="宋体" w:cs="宋体"/>
          <w:color w:val="000000" w:themeColor="text1"/>
          <w:sz w:val="21"/>
          <w14:textFill>
            <w14:solidFill>
              <w14:schemeClr w14:val="tx1"/>
            </w14:solidFill>
          </w14:textFill>
        </w:rPr>
        <w:t xml:space="preserve">中明确仲裁机构及仲裁地；通过诉讼方式解决的，可以在</w:t>
      </w:r>
      <w:r>
        <w:rPr>
          <w:rFonts w:hint="eastAsia" w:ascii="宋体" w:hAnsi="宋体" w:eastAsia="宋体" w:cs="宋体"/>
          <w:b/>
          <w:bCs/>
          <w:color w:val="000000" w:themeColor="text1"/>
          <w:sz w:val="21"/>
          <w14:textFill>
            <w14:solidFill>
              <w14:schemeClr w14:val="tx1"/>
            </w14:solidFill>
          </w14:textFill>
        </w:rPr>
        <w:t xml:space="preserve">【政府采购合同专用条款】</w:t>
      </w:r>
      <w:r>
        <w:rPr>
          <w:rFonts w:hint="eastAsia" w:ascii="宋体" w:hAnsi="宋体" w:eastAsia="宋体" w:cs="宋体"/>
          <w:color w:val="000000" w:themeColor="text1"/>
          <w:sz w:val="21"/>
          <w14:textFill>
            <w14:solidFill>
              <w14:schemeClr w14:val="tx1"/>
            </w14:solidFill>
          </w14:textFill>
        </w:rPr>
        <w:t xml:space="preserve">中进一步约定选择与争议有实际联系的地点的人民法院管辖，但管辖法院的约定不得违反级别管辖和专属管辖的规定。</w:t>
      </w:r>
      <w:r/>
    </w:p>
    <w:p>
      <w:pPr>
        <w:pStyle w:val="1090"/>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19.3 如甲乙双方有争议的事项不影响合同其他部分的履行，在争议解决期间，合同其他部分应当继续履行。</w:t>
      </w:r>
      <w:r/>
    </w:p>
    <w:p>
      <w:pPr>
        <w:jc w:val="left"/>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20. 政府采购政策</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20.1 </w:t>
      </w:r>
      <w:r>
        <w:rPr>
          <w:rFonts w:hint="eastAsia" w:ascii="宋体" w:hAnsi="宋体" w:eastAsia="宋体" w:cs="宋体"/>
          <w:color w:val="000000" w:themeColor="text1"/>
          <w:lang w:val="en-GB"/>
          <w14:textFill>
            <w14:solidFill>
              <w14:schemeClr w14:val="tx1"/>
            </w14:solidFill>
          </w14:textFill>
        </w:rPr>
        <w:t xml:space="preserve">本合同应当按照规定执行政府采购政策。</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20.2 本合同依法执行政府采购政策的方式和内容，属于合同履约验收的范围。</w:t>
      </w:r>
      <w:r>
        <w:rPr>
          <w:rFonts w:hint="eastAsia" w:ascii="宋体" w:hAnsi="宋体" w:eastAsia="宋体" w:cs="宋体"/>
          <w:color w:val="000000" w:themeColor="text1"/>
          <w14:textFill>
            <w14:solidFill>
              <w14:schemeClr w14:val="tx1"/>
            </w14:solidFill>
          </w14:textFill>
        </w:rPr>
        <w:t xml:space="preserve">甲乙双方</w:t>
      </w:r>
      <w:r>
        <w:rPr>
          <w:rFonts w:hint="eastAsia" w:ascii="宋体" w:hAnsi="宋体" w:eastAsia="宋体" w:cs="宋体"/>
          <w:color w:val="000000" w:themeColor="text1"/>
          <w:lang w:val="en-GB"/>
          <w14:textFill>
            <w14:solidFill>
              <w14:schemeClr w14:val="tx1"/>
            </w14:solidFill>
          </w14:textFill>
        </w:rPr>
        <w:t xml:space="preserve">未按规定要求执行政府采购政策造成损失的</w:t>
      </w:r>
      <w:r>
        <w:rPr>
          <w:rFonts w:hint="eastAsia" w:ascii="宋体" w:hAnsi="宋体" w:eastAsia="宋体" w:cs="宋体"/>
          <w:color w:val="000000" w:themeColor="text1"/>
          <w:szCs w:val="21"/>
          <w14:textFill>
            <w14:solidFill>
              <w14:schemeClr w14:val="tx1"/>
            </w14:solidFill>
          </w14:textFill>
        </w:rPr>
        <w:t xml:space="preserve">，有过错的一方应当承担赔偿责任，双方都有过错的，各自承担相应的责任。</w:t>
      </w:r>
      <w:r/>
    </w:p>
    <w:p>
      <w:pPr>
        <w:pStyle w:val="1037"/>
        <w:ind w:firstLine="420"/>
        <w:spacing w:line="400" w:lineRule="exact"/>
        <w:rPr>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21. 法律适用</w:t>
      </w:r>
      <w:r/>
    </w:p>
    <w:p>
      <w:pPr>
        <w:pStyle w:val="1090"/>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21.1 本合同的订立、生效、解释、履行及与本合同有关的争议解决，均适用法律、行政法规。</w:t>
      </w:r>
      <w:r/>
    </w:p>
    <w:p>
      <w:pPr>
        <w:pStyle w:val="1090"/>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22. 通知</w:t>
      </w:r>
      <w:r/>
    </w:p>
    <w:p>
      <w:pPr>
        <w:pStyle w:val="1090"/>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p>
    <w:p>
      <w:pPr>
        <w:pStyle w:val="1090"/>
        <w:ind w:firstLine="0"/>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22.4通知以送达之日或通知书中规定的生效之日起生效，两者中以较迟之日为准。</w:t>
      </w:r>
      <w:r/>
    </w:p>
    <w:p>
      <w:pPr>
        <w:numPr>
          <w:ilvl w:val="0"/>
          <w:numId w:val="0"/>
        </w:num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lang w:val="en-US" w:eastAsia="zh-CN"/>
          <w14:textFill>
            <w14:solidFill>
              <w14:schemeClr w14:val="tx1"/>
            </w14:solidFill>
          </w14:textFill>
        </w:rPr>
        <w:t xml:space="preserve">23.</w:t>
      </w:r>
      <w:r>
        <w:rPr>
          <w:rFonts w:hint="eastAsia" w:ascii="宋体" w:hAnsi="宋体" w:eastAsia="宋体" w:cs="宋体"/>
          <w:b/>
          <w:bCs/>
          <w:color w:val="000000" w:themeColor="text1"/>
          <w:sz w:val="24"/>
          <w14:textFill>
            <w14:solidFill>
              <w14:schemeClr w14:val="tx1"/>
            </w14:solidFill>
          </w14:textFill>
        </w:rPr>
        <w:t xml:space="preserve">合同未尽事项</w:t>
      </w:r>
      <w:r/>
    </w:p>
    <w:p>
      <w:pPr>
        <w:ind w:firstLine="420"/>
        <w:jc w:val="left"/>
        <w:spacing w:line="400" w:lineRule="exact"/>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23.1合同未尽事项见</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w:t>
      </w:r>
      <w:r/>
    </w:p>
    <w:p>
      <w:pPr>
        <w:jc w:val="left"/>
        <w:spacing w:line="400" w:lineRule="exac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    23.2 合同附件与合同正文具有同等的法律效力。</w:t>
      </w:r>
      <w:r/>
    </w:p>
    <w:p>
      <w:pPr>
        <w:jc w:val="center"/>
        <w:rPr>
          <w:rFonts w:cs="等线"/>
          <w:color w:val="000000" w:themeColor="text1"/>
          <w:sz w:val="28"/>
          <w:szCs w:val="28"/>
          <w14:textFill>
            <w14:solidFill>
              <w14:schemeClr w14:val="tx1"/>
            </w14:solidFill>
          </w14:textFill>
        </w:rPr>
      </w:pPr>
      <w:r>
        <w:rPr>
          <w:rFonts w:hint="eastAsia" w:cs="等线"/>
          <w:color w:val="000000" w:themeColor="text1"/>
          <w:sz w:val="28"/>
          <w:szCs w:val="28"/>
          <w14:textFill>
            <w14:solidFill>
              <w14:schemeClr w14:val="tx1"/>
            </w14:solidFill>
          </w14:textFill>
        </w:rPr>
        <w:br w:type="page" w:clear="all"/>
      </w:r>
      <w:r/>
    </w:p>
    <w:p>
      <w:pPr>
        <w:pStyle w:val="1022"/>
        <w:jc w:val="center"/>
        <w:rPr>
          <w:rFonts w:ascii="黑体" w:hAnsi="华文中宋" w:eastAsia="黑体"/>
          <w:color w:val="000000" w:themeColor="text1"/>
          <w:sz w:val="28"/>
          <w:szCs w:val="28"/>
          <w14:textFill>
            <w14:solidFill>
              <w14:schemeClr w14:val="tx1"/>
            </w14:solidFill>
          </w14:textFill>
        </w:rPr>
      </w:pPr>
      <w:r>
        <w:rPr>
          <w:rFonts w:hint="eastAsia" w:ascii="黑体" w:hAnsi="华文中宋" w:eastAsia="黑体"/>
          <w:color w:val="000000" w:themeColor="text1"/>
          <w:sz w:val="28"/>
          <w:szCs w:val="28"/>
          <w14:textFill>
            <w14:solidFill>
              <w14:schemeClr w14:val="tx1"/>
            </w14:solidFill>
          </w14:textFill>
        </w:rPr>
        <w:t xml:space="preserve">第三节 政府采购合同专用条款</w:t>
      </w:r>
      <w:r/>
    </w:p>
    <w:tbl>
      <w:tblPr>
        <w:tblStyle w:val="1031"/>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第1.2（6）项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联合体具体要求</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604"/>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第1.2（7）项</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其他术语解释</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第4.4款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履约验收中甲方提出异议或作出说明的期限</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第4.6款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约定甲方承担的其他义务和责任</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第5.4款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约定乙方承担的其他义务和责任</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第6.1款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履行合同义务的顺序</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trHeight w:val="667"/>
        </w:trPr>
        <w:tc>
          <w:tcPr>
            <w:tcW w:w="1607" w:type="dxa"/>
            <w:vAlign w:val="center"/>
            <w:vMerge w:val="restart"/>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第7.1款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包装特殊要求</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67"/>
        </w:trPr>
        <w:tc>
          <w:tcPr>
            <w:tcW w:w="1607" w:type="dxa"/>
            <w:vAlign w:val="center"/>
            <w:vMerge w:val="continue"/>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指定现场</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772"/>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第7.2款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运输特殊要求</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67"/>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第7.3款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保险要求</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第8.2（1）项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质量保证期</w:t>
            </w:r>
            <w:r/>
          </w:p>
        </w:tc>
        <w:tc>
          <w:tcPr>
            <w:tcW w:w="5170" w:type="dxa"/>
            <w:vAlign w:val="center"/>
            <w:textDirection w:val="lrTb"/>
            <w:noWrap w:val="false"/>
          </w:tcPr>
          <w:p>
            <w:pPr>
              <w:ind w:firstLine="42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第8.2（3）项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货物质量缺陷</w:t>
            </w:r>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响应时间</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pStyle w:val="1090"/>
              <w:ind w:firstLine="0"/>
              <w:jc w:val="center"/>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第11.1款</w:t>
            </w:r>
            <w:r/>
          </w:p>
        </w:tc>
        <w:tc>
          <w:tcPr>
            <w:tcW w:w="1742"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其他应当保密的信息</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697"/>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第12.2款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合同价款支付时间</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697"/>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第13.2款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履约保证金不予退还的情形</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第13.3款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履约保证金退还时间及逾期退还的违约金</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84"/>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第14.1（3）项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运行监督、维修期限</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84"/>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第14.1（5）项</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货物回收的约定</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第14.1（6）项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乙方提供的其他服务</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修理、重做、更换相关具体规定</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第15.2（2）项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迟延交货赔偿费</w:t>
            </w:r>
            <w:r/>
          </w:p>
        </w:tc>
        <w:tc>
          <w:tcPr>
            <w:tcW w:w="5170" w:type="dxa"/>
            <w:vAlign w:val="center"/>
            <w:textDirection w:val="lrTb"/>
            <w:noWrap w:val="false"/>
          </w:tcPr>
          <w:p>
            <w:pPr>
              <w:jc w:val="left"/>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第15.3款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逾期付款利息</w:t>
            </w:r>
            <w:r/>
          </w:p>
        </w:tc>
        <w:tc>
          <w:tcPr>
            <w:tcW w:w="5170" w:type="dxa"/>
            <w:vAlign w:val="center"/>
            <w:textDirection w:val="lrTb"/>
            <w:noWrap w:val="false"/>
          </w:tcPr>
          <w:p>
            <w:pPr>
              <w:jc w:val="left"/>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eastAsia="宋体" w:cs="宋体"/>
                <w:iCs/>
                <w:color w:val="000000" w:themeColor="text1"/>
                <w:szCs w:val="21"/>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14:textFill>
                  <w14:solidFill>
                    <w14:schemeClr w14:val="tx1"/>
                  </w14:solidFill>
                </w14:textFill>
              </w:rPr>
              <w:t xml:space="preserve">种方式解决：</w:t>
            </w:r>
            <w:r/>
          </w:p>
          <w:p>
            <w:pPr>
              <w:jc w:val="left"/>
              <w:spacing w:line="400" w:lineRule="exact"/>
              <w:rPr>
                <w:rFonts w:ascii="宋体" w:hAnsi="宋体" w:eastAsia="宋体" w:cs="宋体"/>
                <w:iCs/>
                <w:color w:val="000000" w:themeColor="text1"/>
                <w:szCs w:val="21"/>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t xml:space="preserve">（1）向</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14:textFill>
                  <w14:solidFill>
                    <w14:schemeClr w14:val="tx1"/>
                  </w14:solidFill>
                </w14:textFill>
              </w:rPr>
              <w:t xml:space="preserve">仲裁委员会申请仲裁，仲裁地点为</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14:textFill>
                  <w14:solidFill>
                    <w14:schemeClr w14:val="tx1"/>
                  </w14:solidFill>
                </w14:textFill>
              </w:rPr>
              <w:t xml:space="preserve">；</w:t>
            </w:r>
            <w:r/>
          </w:p>
          <w:p>
            <w:pPr>
              <w:jc w:val="left"/>
              <w:rPr>
                <w:rFonts w:ascii="宋体" w:hAnsi="宋体"/>
                <w:color w:val="000000" w:themeColor="text1"/>
                <w:szCs w:val="21"/>
                <w:u w:val="single"/>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t xml:space="preserve">（2）向</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第23.1款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其他专用条款</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bl>
    <w:p>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rPr>
          <w:rFonts w:hint="eastAsia" w:ascii="宋体" w:hAnsi="Courier New" w:eastAsia="宋体"/>
          <w:b/>
          <w:bCs/>
          <w:color w:val="000000"/>
          <w:sz w:val="36"/>
          <w:szCs w:val="36"/>
          <w:highlight w:val="none"/>
        </w:rPr>
      </w:pPr>
      <w:r>
        <w:rPr>
          <w:rFonts w:hint="eastAsia" w:ascii="宋体" w:hAnsi="Courier New" w:eastAsia="宋体"/>
          <w:b/>
          <w:bCs/>
          <w:color w:val="000000"/>
          <w:sz w:val="36"/>
          <w:szCs w:val="36"/>
          <w:highlight w:val="none"/>
        </w:rPr>
        <w:br w:type="page" w:clear="all"/>
      </w:r>
      <w:r/>
    </w:p>
    <w:p>
      <w:pPr>
        <w:ind w:left="0" w:right="0" w:firstLine="0"/>
        <w:jc w:val="center"/>
        <w:rPr>
          <w:color w:val="000000"/>
          <w:highlight w:val="none"/>
        </w:rPr>
      </w:pPr>
      <w:r>
        <w:rPr>
          <w:rFonts w:hint="eastAsia" w:ascii="宋体" w:hAnsi="Courier New" w:eastAsia="宋体"/>
          <w:b/>
          <w:bCs/>
          <w:color w:val="000000"/>
          <w:sz w:val="36"/>
          <w:szCs w:val="36"/>
          <w:highlight w:val="none"/>
        </w:rPr>
        <w:t xml:space="preserve">五、 附件</w:t>
      </w:r>
      <w:r/>
    </w:p>
    <w:p>
      <w:pPr>
        <w:pStyle w:val="1068"/>
        <w:ind w:firstLine="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outlineLvl w:val="1"/>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附件一：评分标准：</w:t>
      </w:r>
      <w:r>
        <w:rPr>
          <w:rFonts w:hint="eastAsia" w:ascii="宋体" w:hAnsi="宋体" w:eastAsia="宋体" w:cs="宋体"/>
          <w:color w:val="000000" w:themeColor="text1"/>
          <w:sz w:val="24"/>
          <w:highlight w:val="none"/>
          <w14:textFill>
            <w14:solidFill>
              <w14:schemeClr w14:val="tx1"/>
            </w14:solidFill>
          </w14:textFill>
        </w:rPr>
        <w:t xml:space="preserve">（总分100分）</w:t>
      </w:r>
      <w:r/>
    </w:p>
    <w:p>
      <w:pPr>
        <w:pStyle w:val="1695"/>
        <w:spacing w:before="0" w:after="0" w:line="500" w:lineRule="exact"/>
        <w:rPr>
          <w:rStyle w:val="1063"/>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比较与评价采用综合评分法。</w:t>
      </w:r>
      <w:r>
        <w:rPr>
          <w:rFonts w:hint="eastAsia" w:asciiTheme="minorEastAsia" w:hAnsiTheme="minorEastAsia" w:eastAsiaTheme="minorEastAsia" w:cstheme="minorEastAsia"/>
          <w:bCs/>
          <w:sz w:val="24"/>
          <w:szCs w:val="24"/>
        </w:rPr>
        <w:t xml:space="preserve">评标委员会遵循公平、公正、择优原则，独立按照评标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排名第一，以此类推，按排名先后顺序选取3名中标候选人。</w:t>
      </w:r>
      <w:r/>
    </w:p>
    <w:p>
      <w:pPr>
        <w:pStyle w:val="1695"/>
        <w:spacing w:before="0" w:after="0" w:line="500" w:lineRule="exact"/>
        <w:rPr>
          <w:rFonts w:hint="eastAsia" w:asciiTheme="minorEastAsia" w:hAnsiTheme="minorEastAsia" w:eastAsiaTheme="minorEastAsia" w:cstheme="minorEastAsia"/>
          <w:sz w:val="24"/>
          <w:szCs w:val="24"/>
          <w:shd w:val="clear" w:color="ffffff" w:fill="d9d9d9"/>
        </w:rPr>
      </w:pPr>
      <w:r>
        <w:rPr>
          <w:rFonts w:hint="eastAsia" w:asciiTheme="minorEastAsia" w:hAnsiTheme="minorEastAsia" w:eastAsiaTheme="minorEastAsia" w:cstheme="minorEastAsia"/>
          <w:bCs/>
          <w:sz w:val="24"/>
          <w:szCs w:val="24"/>
        </w:rPr>
        <w:t xml:space="preserve">提供相同品牌产品且通过资格审查、符合性审查的不同投标供应商参加同一合同项下投标的，按一家投标供应商计算，评审后得分最高的同品牌投标供应商获得评审排名资格；评审得分相同的，由采购人确定其中一个投标供应商获得评审排名资格，其他同品牌投标供应商无评审排名资格。非单一产品采购项目，多家投标供应商提供的核心产品品牌相同的，同上处理。</w:t>
      </w:r>
      <w:r/>
    </w:p>
    <w:p>
      <w:pPr>
        <w:pStyle w:val="1695"/>
        <w:spacing w:before="0" w:after="0" w:line="500" w:lineRule="exact"/>
        <w:rPr>
          <w:rFonts w:cs="Arial"/>
          <w:b/>
          <w:sz w:val="30"/>
          <w:szCs w:val="30"/>
        </w:rPr>
      </w:pPr>
      <w:r>
        <w:rPr>
          <w:rFonts w:hint="eastAsia" w:cs="Arial"/>
          <w:b/>
          <w:sz w:val="30"/>
          <w:szCs w:val="30"/>
        </w:rPr>
        <w:t xml:space="preserve">第二部分评标标准</w:t>
      </w:r>
      <w:r/>
    </w:p>
    <w:p>
      <w:pPr>
        <w:pStyle w:val="1695"/>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keepLines w:val="0"/>
        <w:keepNext w:val="0"/>
        <w:pageBreakBefore w:val="0"/>
        <w:spacing w:line="360" w:lineRule="auto"/>
        <w:widowControl w:val="off"/>
        <w:rPr>
          <w:rFonts w:hint="eastAsia" w:ascii="宋体" w:hAnsi="宋体"/>
          <w:b/>
          <w:bCs/>
          <w:sz w:val="24"/>
          <w:szCs w:val="24"/>
        </w:rPr>
      </w:pPr>
      <w:r>
        <w:rPr>
          <w:rFonts w:hint="eastAsia" w:ascii="宋体" w:hAnsi="宋体"/>
          <w:b/>
          <w:bCs/>
          <w:sz w:val="24"/>
          <w:szCs w:val="24"/>
        </w:rPr>
        <w:t xml:space="preserve">小微型企业价格扣除：专门面向中小/小微企业的项目不做价格扣除。</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b/>
          <w:bCs/>
          <w:sz w:val="24"/>
          <w:szCs w:val="24"/>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关于</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本国产品</w:t>
      </w:r>
      <w:r>
        <w:rPr>
          <w:rFonts w:hint="eastAsia" w:ascii="宋体" w:hAnsi="宋体" w:eastAsia="宋体" w:cs="宋体"/>
          <w:b/>
          <w:bCs w:val="0"/>
          <w:color w:val="000000" w:themeColor="text1"/>
          <w:sz w:val="24"/>
          <w:szCs w:val="24"/>
          <w:highlight w:val="none"/>
          <w14:textFill>
            <w14:solidFill>
              <w14:schemeClr w14:val="tx1"/>
            </w14:solidFill>
          </w14:textFill>
        </w:rPr>
        <w:t xml:space="preserve">价格扣除详见第</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二章供应商须知</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第（九）条-第5点：“</w:t>
      </w:r>
      <w:r>
        <w:rPr>
          <w:rFonts w:hint="eastAsia" w:ascii="宋体" w:hAnsi="宋体" w:eastAsia="宋体" w:cs="宋体"/>
          <w:b/>
          <w:bCs w:val="0"/>
          <w:color w:val="auto"/>
          <w:sz w:val="24"/>
          <w:szCs w:val="24"/>
          <w:highlight w:val="none"/>
        </w:rPr>
        <w:t xml:space="preserve">采购本国产品的支持政策”。</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4.残疾人福利单位、监狱企业属于小型、微型企业的，不重复享受政策。</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用扣除后的价格参与评审。投标供应商须在《联合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1695"/>
        <w:ind w:left="0" w:firstLine="280"/>
        <w:spacing w:before="0" w:after="0"/>
        <w:rPr>
          <w:rFonts w:hint="eastAsia" w:ascii="宋体" w:hAnsi="宋体"/>
          <w:b/>
          <w:sz w:val="28"/>
          <w:szCs w:val="28"/>
        </w:rPr>
      </w:pPr>
      <w:r>
        <w:rPr>
          <w:rFonts w:hint="eastAsia" w:ascii="宋体" w:hAnsi="宋体"/>
          <w:b/>
          <w:sz w:val="28"/>
          <w:szCs w:val="28"/>
        </w:rPr>
        <w:t xml:space="preserve">二、评分标准</w:t>
      </w:r>
      <w:r/>
    </w:p>
    <w:p>
      <w:pPr>
        <w:numPr>
          <w:ilvl w:val="0"/>
          <w:numId w:val="6"/>
        </w:numPr>
        <w:ind w:firstLine="120"/>
        <w:spacing w:line="360" w:lineRule="auto"/>
        <w:rPr>
          <w:rFonts w:hint="eastAsia" w:ascii="宋体" w:hAnsi="宋体" w:cs="宋体"/>
          <w:sz w:val="24"/>
        </w:rPr>
      </w:pPr>
      <w:r>
        <w:rPr>
          <w:rFonts w:hint="eastAsia" w:ascii="宋体" w:hAnsi="宋体" w:cs="宋体"/>
          <w:sz w:val="24"/>
        </w:rPr>
        <w:t xml:space="preserve">评分项目及总分（总分100分）</w:t>
      </w:r>
      <w:r/>
    </w:p>
    <w:p>
      <w:pPr>
        <w:numPr>
          <w:ilvl w:val="0"/>
          <w:numId w:val="7"/>
        </w:numPr>
        <w:spacing w:line="360" w:lineRule="auto"/>
        <w:rPr>
          <w:rFonts w:hint="eastAsia" w:ascii="宋体" w:hAnsi="宋体" w:cs="宋体"/>
          <w:b/>
          <w:sz w:val="24"/>
        </w:rPr>
      </w:pPr>
      <w:r>
        <w:rPr>
          <w:rFonts w:hint="eastAsia" w:ascii="宋体" w:hAnsi="宋体" w:cs="宋体"/>
          <w:b/>
          <w:bCs/>
          <w:sz w:val="24"/>
        </w:rPr>
        <w:t xml:space="preserve">投标</w:t>
      </w:r>
      <w:r>
        <w:rPr>
          <w:rFonts w:hint="eastAsia" w:ascii="宋体" w:hAnsi="宋体" w:cs="宋体"/>
          <w:b/>
          <w:sz w:val="24"/>
        </w:rPr>
        <w:t xml:space="preserve">报价                            40分</w:t>
      </w:r>
      <w:r/>
    </w:p>
    <w:p>
      <w:pPr>
        <w:numPr>
          <w:ilvl w:val="0"/>
          <w:numId w:val="7"/>
        </w:numPr>
        <w:spacing w:line="360" w:lineRule="auto"/>
        <w:rPr>
          <w:rFonts w:hint="eastAsia" w:ascii="宋体" w:hAnsi="宋体"/>
          <w:b/>
          <w:sz w:val="24"/>
        </w:rPr>
      </w:pPr>
      <w:r>
        <w:rPr>
          <w:rFonts w:hint="eastAsia" w:ascii="宋体" w:hAnsi="宋体" w:cs="宋体"/>
          <w:b/>
          <w:bCs/>
          <w:sz w:val="24"/>
        </w:rPr>
        <w:t xml:space="preserve">产品性能</w:t>
      </w:r>
      <w:r>
        <w:rPr>
          <w:rFonts w:hint="eastAsia" w:ascii="宋体" w:hAnsi="宋体"/>
          <w:b/>
          <w:sz w:val="24"/>
          <w:szCs w:val="24"/>
        </w:rPr>
        <w:t xml:space="preserve">                            20分</w:t>
      </w:r>
      <w:r/>
    </w:p>
    <w:p>
      <w:pPr>
        <w:numPr>
          <w:ilvl w:val="0"/>
          <w:numId w:val="7"/>
        </w:numPr>
        <w:spacing w:line="360" w:lineRule="auto"/>
        <w:rPr>
          <w:rFonts w:hint="eastAsia" w:ascii="宋体" w:hAnsi="宋体" w:cs="宋体"/>
          <w:b/>
          <w:sz w:val="24"/>
        </w:rPr>
      </w:pPr>
      <w:r>
        <w:rPr>
          <w:rFonts w:hint="eastAsia" w:ascii="宋体" w:hAnsi="宋体"/>
          <w:b/>
          <w:sz w:val="24"/>
        </w:rPr>
        <w:t xml:space="preserve">投标人及产品制造商综合评价          4分</w:t>
      </w:r>
      <w:r/>
    </w:p>
    <w:p>
      <w:pPr>
        <w:numPr>
          <w:ilvl w:val="0"/>
          <w:numId w:val="7"/>
        </w:numPr>
        <w:spacing w:line="360" w:lineRule="auto"/>
        <w:rPr>
          <w:rFonts w:hint="eastAsia" w:ascii="宋体" w:hAnsi="宋体" w:cs="宋体"/>
          <w:b/>
          <w:sz w:val="24"/>
        </w:rPr>
      </w:pPr>
      <w:r>
        <w:rPr>
          <w:rFonts w:hint="eastAsia" w:ascii="宋体" w:hAnsi="宋体" w:cs="宋体"/>
          <w:b/>
          <w:sz w:val="24"/>
        </w:rPr>
        <w:t xml:space="preserve">技术方案（暗标部分）               </w:t>
      </w:r>
      <w:r>
        <w:rPr>
          <w:rFonts w:hint="eastAsia" w:ascii="宋体" w:hAnsi="宋体"/>
          <w:b/>
          <w:sz w:val="24"/>
        </w:rPr>
        <w:t xml:space="preserve"> 36分</w:t>
      </w:r>
      <w:r/>
    </w:p>
    <w:p>
      <w:pPr>
        <w:ind w:firstLine="240"/>
        <w:spacing w:line="360" w:lineRule="auto"/>
        <w:rPr>
          <w:rFonts w:hint="eastAsia" w:ascii="宋体" w:hAnsi="宋体"/>
          <w:b/>
          <w:sz w:val="28"/>
          <w:szCs w:val="28"/>
        </w:rPr>
      </w:pPr>
      <w:r>
        <w:rPr>
          <w:rFonts w:hint="eastAsia" w:ascii="宋体" w:hAnsi="宋体" w:cs="宋体"/>
          <w:sz w:val="24"/>
        </w:rPr>
        <w:t xml:space="preserve">（二）各项目评分标准</w:t>
      </w:r>
      <w:r/>
    </w:p>
    <w:p>
      <w:pPr>
        <w:pStyle w:val="1695"/>
        <w:ind w:firstLine="422"/>
        <w:spacing w:before="0" w:after="0"/>
        <w:rPr>
          <w:rFonts w:hint="eastAsia" w:ascii="宋体" w:hAnsi="宋体"/>
          <w:b/>
        </w:rPr>
      </w:pPr>
      <w:r>
        <w:rPr>
          <w:rFonts w:hint="eastAsia" w:ascii="宋体" w:hAnsi="宋体"/>
          <w:b/>
        </w:rPr>
        <w:t xml:space="preserve">一、投标报价（40分）</w:t>
      </w:r>
      <w:r/>
    </w:p>
    <w:p>
      <w:pPr>
        <w:ind w:firstLine="480"/>
        <w:spacing w:line="360" w:lineRule="auto"/>
        <w:tabs>
          <w:tab w:val="left" w:pos="945" w:leader="none"/>
          <w:tab w:val="left" w:pos="1155" w:leader="none"/>
        </w:tabs>
        <w:rPr>
          <w:rFonts w:ascii="宋体"/>
          <w:bCs/>
          <w:sz w:val="24"/>
          <w:szCs w:val="24"/>
        </w:rPr>
      </w:pPr>
      <w:r>
        <w:rPr>
          <w:rFonts w:hint="eastAsia" w:ascii="宋体" w:hAnsi="宋体"/>
          <w:bCs/>
          <w:sz w:val="24"/>
          <w:szCs w:val="24"/>
        </w:rPr>
        <w:t xml:space="preserve">采用低价优先法计算，即满足招标文件要求且投标价格最低的投标报价为评标基准价，其价格分为满分。其他投标人的价格统一按照下列公式计算：</w:t>
      </w:r>
      <w:r/>
    </w:p>
    <w:p>
      <w:pPr>
        <w:ind w:firstLine="480"/>
        <w:spacing w:line="360" w:lineRule="auto"/>
        <w:tabs>
          <w:tab w:val="left" w:pos="945" w:leader="none"/>
          <w:tab w:val="left" w:pos="1155" w:leader="none"/>
        </w:tabs>
        <w:rPr>
          <w:rFonts w:ascii="宋体"/>
          <w:bCs/>
          <w:sz w:val="24"/>
          <w:szCs w:val="24"/>
        </w:rPr>
      </w:pPr>
      <w:r>
        <w:rPr>
          <w:rFonts w:hint="eastAsia" w:ascii="宋体" w:hAnsi="宋体"/>
          <w:bCs/>
          <w:sz w:val="24"/>
          <w:szCs w:val="24"/>
        </w:rPr>
        <w:t xml:space="preserve">投标报价得分</w:t>
      </w:r>
      <w:r>
        <w:rPr>
          <w:rFonts w:ascii="宋体" w:hAnsi="宋体"/>
          <w:bCs/>
          <w:sz w:val="24"/>
          <w:szCs w:val="24"/>
        </w:rPr>
        <w:t xml:space="preserve">=</w:t>
      </w:r>
      <w:r>
        <w:rPr>
          <w:rFonts w:hint="eastAsia" w:ascii="宋体" w:hAnsi="宋体"/>
          <w:bCs/>
          <w:sz w:val="24"/>
          <w:szCs w:val="24"/>
        </w:rPr>
        <w:t xml:space="preserve">（评标基准价／投标报价）×价格权值×</w:t>
      </w:r>
      <w:r>
        <w:rPr>
          <w:rFonts w:ascii="宋体" w:hAnsi="宋体"/>
          <w:bCs/>
          <w:sz w:val="24"/>
          <w:szCs w:val="24"/>
        </w:rPr>
        <w:t xml:space="preserve">100</w:t>
      </w:r>
      <w:r>
        <w:rPr>
          <w:rFonts w:hint="eastAsia" w:ascii="宋体" w:hAnsi="宋体"/>
          <w:bCs/>
          <w:sz w:val="24"/>
          <w:szCs w:val="24"/>
        </w:rPr>
        <w:t xml:space="preserve">。</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关于价格扣除详见本章第二部分“一、落实政府采购政策的价格调整”。</w:t>
      </w:r>
      <w:r/>
    </w:p>
    <w:p>
      <w:pPr>
        <w:ind w:firstLine="482"/>
        <w:spacing w:line="360" w:lineRule="auto"/>
        <w:widowControl/>
        <w:tabs>
          <w:tab w:val="left" w:pos="630" w:leader="none"/>
        </w:tabs>
        <w:rPr>
          <w:rFonts w:hint="eastAsia" w:ascii="宋体" w:hAnsi="宋体"/>
          <w:b/>
          <w:sz w:val="24"/>
          <w:szCs w:val="24"/>
        </w:rPr>
      </w:pPr>
      <w:r>
        <w:rPr>
          <w:rFonts w:hint="eastAsia" w:ascii="宋体" w:hAnsi="宋体"/>
          <w:b/>
          <w:sz w:val="24"/>
          <w:szCs w:val="24"/>
        </w:rPr>
        <w:t xml:space="preserve">二、产品性能（20分）</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w:t>
      </w:r>
      <w:r>
        <w:rPr>
          <w:rFonts w:hint="eastAsia"/>
          <w:b/>
          <w:bCs/>
          <w:sz w:val="24"/>
          <w:szCs w:val="24"/>
        </w:rPr>
        <w:t xml:space="preserve">设备性能及要求</w:t>
      </w:r>
      <w:r>
        <w:rPr>
          <w:rFonts w:hint="eastAsia" w:ascii="宋体" w:hAnsi="宋体" w:cs="宋体"/>
          <w:b/>
          <w:bCs/>
          <w:sz w:val="24"/>
          <w:szCs w:val="24"/>
        </w:rPr>
        <w:t xml:space="preserve">（3分）：</w:t>
      </w:r>
      <w:r/>
    </w:p>
    <w:p>
      <w:pPr>
        <w:ind w:firstLine="482"/>
        <w:spacing w:line="360" w:lineRule="auto"/>
        <w:rPr>
          <w:rFonts w:hint="eastAsia" w:ascii="宋体" w:hAnsi="宋体" w:cs="宋体"/>
          <w:sz w:val="24"/>
        </w:rPr>
      </w:pPr>
      <w:r>
        <w:rPr>
          <w:rFonts w:hint="eastAsia" w:ascii="宋体" w:hAnsi="宋体" w:cs="宋体"/>
          <w:sz w:val="24"/>
        </w:rPr>
        <w:t xml:space="preserve">投标品牌电梯要求曳引机、控制柜、门机、层门门锁、轿门门锁、限速器、安全钳、安全电路、上行超速保护装置、轿厢意外移动保护装置、缓冲器均为原厂原品牌，11项全部具有的得3分；具有7—10项的得2分；具有3-6项的得1分；低于3项的不得分。本项最高得3分。</w:t>
      </w:r>
      <w:r/>
    </w:p>
    <w:p>
      <w:pPr>
        <w:ind w:firstLine="482"/>
        <w:spacing w:line="360" w:lineRule="auto"/>
        <w:rPr>
          <w:rFonts w:hint="eastAsia" w:ascii="宋体" w:hAnsi="宋体" w:cs="宋体"/>
          <w:b/>
          <w:bCs/>
          <w:sz w:val="24"/>
        </w:rPr>
      </w:pPr>
      <w:r>
        <w:rPr>
          <w:rFonts w:hint="eastAsia" w:ascii="宋体" w:hAnsi="宋体" w:cs="宋体"/>
          <w:b/>
          <w:bCs/>
          <w:sz w:val="24"/>
        </w:rPr>
        <w:t xml:space="preserve">【除门机外其余提供投标电梯型号的整机型式试验报告并加盖电梯品牌制造商公章扫描件上传，门机需提供由所投电梯品牌制造商委托第三方检测机构出具的检测报告并加盖电梯品牌制造商公章扫描件，未提供或提供不符要求的不得分。】</w:t>
      </w:r>
      <w:r/>
    </w:p>
    <w:p>
      <w:pPr>
        <w:numPr>
          <w:ilvl w:val="0"/>
          <w:numId w:val="8"/>
        </w:numPr>
        <w:ind w:firstLine="482"/>
        <w:spacing w:line="360" w:lineRule="auto"/>
        <w:rPr>
          <w:rFonts w:hint="eastAsia" w:ascii="宋体" w:hAnsi="宋体" w:cs="宋体"/>
          <w:b/>
          <w:bCs/>
          <w:sz w:val="24"/>
        </w:rPr>
      </w:pPr>
      <w:r>
        <w:rPr>
          <w:rFonts w:hint="eastAsia" w:ascii="宋体" w:hAnsi="宋体" w:cs="宋体"/>
          <w:b/>
          <w:bCs/>
          <w:sz w:val="24"/>
        </w:rPr>
        <w:t xml:space="preserve">升降梯曳引机（5分）：</w:t>
      </w:r>
      <w:r/>
    </w:p>
    <w:p>
      <w:pPr>
        <w:ind w:firstLine="480"/>
        <w:spacing w:line="360" w:lineRule="auto"/>
        <w:rPr>
          <w:rFonts w:hint="eastAsia" w:ascii="宋体" w:hAnsi="宋体" w:cs="宋体"/>
          <w:sz w:val="24"/>
        </w:rPr>
      </w:pPr>
      <w:r>
        <w:rPr>
          <w:rFonts w:hint="eastAsia" w:ascii="宋体" w:hAnsi="宋体" w:cs="宋体"/>
          <w:sz w:val="24"/>
        </w:rPr>
        <w:t xml:space="preserve">投标品牌电梯曳引机设计先进，结构合理，选材优质，安全可靠满足以下条件：①曳引机制动器的动作次数（使用寿命）≥2000万次；曳引</w:t>
      </w:r>
      <w:r>
        <w:rPr>
          <w:rFonts w:hint="eastAsia" w:ascii="宋体" w:hAnsi="宋体" w:cs="宋体"/>
          <w:sz w:val="24"/>
        </w:rPr>
        <w:t xml:space="preserve">机绕组温升≤40K；曳引机绝缘等级为F；电磁线局部放电性能满足：放电电荷阈值100pc时，放电起始电压≥1200V的得5分；②曳引机制动器的动作次数（使用寿命）≥1500万次＜2000万次；曳引机绕组温升≤50K；曳引机绝缘等级为F；电磁线局部放电性能满足：放电电荷阈值100pc时，放电起始电压≥1200V的得3分；③曳引机制动器的动作次数（使用寿命）≥1000万次＜1500万次；曳引机绕组温升≤60K；曳引机绝缘等级为F；电磁线局部放电性能满足：放电电荷阈值100pc时，放电起始电压≥1200V的得1分。</w:t>
      </w:r>
      <w:r/>
    </w:p>
    <w:p>
      <w:pPr>
        <w:ind w:firstLine="482"/>
        <w:spacing w:line="360" w:lineRule="auto"/>
        <w:rPr>
          <w:rFonts w:hint="eastAsia" w:ascii="宋体" w:hAnsi="宋体" w:cs="宋体"/>
          <w:sz w:val="24"/>
        </w:rPr>
      </w:pPr>
      <w:r>
        <w:rPr>
          <w:rFonts w:hint="eastAsia" w:ascii="宋体" w:hAnsi="宋体" w:cs="宋体"/>
          <w:sz w:val="24"/>
        </w:rPr>
        <w:t xml:space="preserve">本项最高得5分。</w:t>
      </w:r>
      <w:r/>
    </w:p>
    <w:p>
      <w:pPr>
        <w:ind w:firstLine="482"/>
        <w:spacing w:line="360" w:lineRule="auto"/>
        <w:rPr>
          <w:rFonts w:hint="eastAsia" w:ascii="宋体" w:hAnsi="宋体" w:cs="宋体"/>
          <w:b/>
          <w:bCs/>
          <w:sz w:val="24"/>
        </w:rPr>
      </w:pPr>
      <w:r>
        <w:rPr>
          <w:rFonts w:hint="eastAsia" w:ascii="宋体" w:hAnsi="宋体" w:cs="宋体"/>
          <w:b/>
          <w:bCs/>
          <w:sz w:val="24"/>
        </w:rPr>
        <w:t xml:space="preserve">【提供由所投电梯品牌制造商委托的第三方检测机构出具的检测报告并加盖电梯品牌制造商公章的扫描件，不提供不得分</w:t>
      </w:r>
      <w:r>
        <w:rPr>
          <w:rFonts w:hint="eastAsia"/>
        </w:rPr>
        <w:t xml:space="preserve">。</w:t>
      </w:r>
      <w:r>
        <w:rPr>
          <w:rFonts w:hint="eastAsia" w:ascii="宋体" w:hAnsi="宋体" w:cs="宋体"/>
          <w:b/>
          <w:bCs/>
          <w:sz w:val="24"/>
        </w:rPr>
        <w:t xml:space="preserve">】</w:t>
      </w:r>
      <w:r/>
    </w:p>
    <w:p>
      <w:pPr>
        <w:ind w:firstLine="482"/>
        <w:spacing w:line="360" w:lineRule="auto"/>
        <w:rPr>
          <w:rFonts w:hint="eastAsia" w:ascii="宋体" w:hAnsi="宋体" w:cs="宋体"/>
          <w:sz w:val="24"/>
        </w:rPr>
      </w:pPr>
      <w:r>
        <w:rPr>
          <w:rFonts w:hint="eastAsia" w:ascii="宋体" w:hAnsi="宋体" w:cs="宋体"/>
          <w:b/>
          <w:bCs/>
          <w:sz w:val="24"/>
        </w:rPr>
        <w:t xml:space="preserve">3、控制柜（3分）：</w:t>
      </w:r>
      <w:r>
        <w:rPr>
          <w:rFonts w:hint="eastAsia" w:ascii="宋体" w:hAnsi="宋体" w:cs="宋体"/>
          <w:sz w:val="24"/>
        </w:rPr>
        <w:t xml:space="preserve">投标品牌电梯控制柜满足（1）雷击浪涌干扰电压≥20KV；（2）控制柜的控制芯片采用 32 位微机或以上且满足电压（380V±20%）；(3)轿厢内载有110%额定载荷，启动-全程运行-停止-正常开关门，连续正常</w:t>
      </w:r>
      <w:r>
        <w:rPr>
          <w:rFonts w:hint="eastAsia" w:ascii="宋体" w:hAnsi="宋体" w:cs="宋体"/>
          <w:sz w:val="24"/>
          <w:highlight w:val="none"/>
        </w:rPr>
        <w:t xml:space="preserve">运行≥100次无</w:t>
      </w:r>
      <w:r>
        <w:rPr>
          <w:rFonts w:hint="eastAsia" w:ascii="宋体" w:hAnsi="宋体" w:cs="宋体"/>
          <w:sz w:val="24"/>
        </w:rPr>
        <w:t xml:space="preserve">故障。每满足一项得1分，本项最高得3分。</w:t>
      </w:r>
      <w:r/>
    </w:p>
    <w:p>
      <w:pPr>
        <w:ind w:firstLine="482"/>
        <w:spacing w:line="360" w:lineRule="auto"/>
        <w:rPr>
          <w:rFonts w:hint="eastAsia" w:ascii="宋体" w:hAnsi="宋体" w:cs="宋体"/>
          <w:b/>
          <w:bCs/>
          <w:sz w:val="24"/>
        </w:rPr>
      </w:pPr>
      <w:r>
        <w:rPr>
          <w:rFonts w:hint="eastAsia" w:ascii="宋体" w:hAnsi="宋体" w:cs="宋体"/>
          <w:b/>
          <w:bCs/>
          <w:sz w:val="24"/>
        </w:rPr>
        <w:t xml:space="preserve">【提供由所投电梯品牌制造商委托的第三方检测机构出具的的控制柜试验报告、检测机构的资质证书的报告并加盖电梯品牌制造商公章的扫描件上传至投标文件中，未提供或提供不符要求的不得分。】</w:t>
      </w:r>
      <w:r/>
    </w:p>
    <w:p>
      <w:pPr>
        <w:ind w:firstLine="482"/>
        <w:spacing w:line="360" w:lineRule="auto"/>
        <w:rPr>
          <w:rFonts w:hint="eastAsia" w:ascii="宋体" w:hAnsi="宋体" w:cs="宋体"/>
          <w:b/>
          <w:bCs/>
          <w:sz w:val="24"/>
        </w:rPr>
      </w:pPr>
      <w:r>
        <w:rPr>
          <w:rFonts w:hint="eastAsia" w:ascii="宋体" w:hAnsi="宋体" w:cs="宋体"/>
          <w:b/>
          <w:bCs/>
          <w:sz w:val="24"/>
        </w:rPr>
        <w:t xml:space="preserve">4、升降梯门保护装置（3分）：</w:t>
      </w:r>
      <w:r/>
    </w:p>
    <w:p>
      <w:pPr>
        <w:ind w:firstLine="480"/>
        <w:spacing w:line="360" w:lineRule="auto"/>
        <w:rPr>
          <w:rStyle w:val="1063"/>
          <w:rFonts w:hint="eastAsia" w:ascii="宋体" w:hAnsi="宋体" w:cs="宋体"/>
          <w:sz w:val="24"/>
        </w:rPr>
      </w:pPr>
      <w:r>
        <w:rPr>
          <w:rFonts w:hint="eastAsia" w:ascii="宋体" w:hAnsi="宋体" w:cs="宋体"/>
          <w:sz w:val="24"/>
        </w:rPr>
        <w:t xml:space="preserve">投标品牌电梯配置智能光幕保护装置，光幕的技术先进、安全可靠。电梯光幕为原厂原品牌。①IP防护等级≥IP65，探测距离0~5m，响应时间≤50ms，扫描光束≥230束，得3分：②IP防护等级≥IP54＜IP65，探测距离0~5m，响应时间≤65ms，扫描光束≥200束的得2分；③IP防护等级≥IP43＜IP54，探测距离0~5m，响应时间≤100ms,扫描光束≥170束的得1分。</w:t>
      </w:r>
      <w:r>
        <w:rPr>
          <w:rStyle w:val="1063"/>
          <w:rFonts w:hint="eastAsia" w:ascii="宋体" w:hAnsi="宋体" w:cs="宋体"/>
          <w:sz w:val="24"/>
        </w:rPr>
        <w:t xml:space="preserve">本项最高得3分。</w:t>
      </w:r>
      <w:r/>
    </w:p>
    <w:p>
      <w:pPr>
        <w:ind w:firstLine="480"/>
        <w:spacing w:line="360" w:lineRule="auto"/>
      </w:pPr>
      <w:r>
        <w:rPr>
          <w:rFonts w:hint="eastAsia" w:ascii="宋体" w:hAnsi="宋体" w:cs="宋体"/>
          <w:b/>
          <w:bCs/>
          <w:sz w:val="24"/>
        </w:rPr>
        <w:t xml:space="preserve">【提供由所投电梯品牌制造商委托的第三方检测机构出具的检测报告并加盖电梯品牌制造商公章的扫描件，不提供不得分。】</w:t>
      </w:r>
      <w:r/>
    </w:p>
    <w:p>
      <w:pPr>
        <w:ind w:firstLine="482"/>
        <w:spacing w:line="360" w:lineRule="auto"/>
        <w:rPr>
          <w:rFonts w:hint="eastAsia" w:ascii="宋体" w:hAnsi="宋体" w:cs="宋体"/>
          <w:sz w:val="24"/>
        </w:rPr>
      </w:pPr>
      <w:r>
        <w:rPr>
          <w:rFonts w:hint="eastAsia" w:ascii="宋体" w:hAnsi="宋体" w:cs="宋体"/>
          <w:b/>
          <w:bCs/>
          <w:sz w:val="24"/>
        </w:rPr>
        <w:t xml:space="preserve">5、门系统（3分）：</w:t>
      </w:r>
      <w:r>
        <w:rPr>
          <w:rFonts w:hint="eastAsia" w:ascii="宋体" w:hAnsi="宋体" w:cs="宋体"/>
          <w:sz w:val="24"/>
        </w:rPr>
        <w:t xml:space="preserve">①永磁同步门系统运行寿命≥1200万次且外壳防护等级≥IP65的得3分；②永磁同步门系统运行寿命≥800万次＜1200万次且外壳防护等级≥IP54的得2分；③永磁同步门系统运行</w:t>
      </w:r>
      <w:r>
        <w:rPr>
          <w:rFonts w:hint="eastAsia" w:ascii="宋体" w:hAnsi="宋体" w:cs="宋体"/>
          <w:sz w:val="24"/>
          <w:highlight w:val="none"/>
        </w:rPr>
        <w:t xml:space="preserve">寿命＞500万次＜800万</w:t>
      </w:r>
      <w:r>
        <w:rPr>
          <w:rFonts w:hint="eastAsia" w:ascii="宋体" w:hAnsi="宋体" w:cs="宋体"/>
          <w:sz w:val="24"/>
        </w:rPr>
        <w:t xml:space="preserve">次且外壳防护等级≥IP43的得1分。本项最高得3分。</w:t>
      </w:r>
      <w:r/>
    </w:p>
    <w:p>
      <w:pPr>
        <w:ind w:firstLine="482"/>
        <w:spacing w:line="360" w:lineRule="auto"/>
        <w:rPr>
          <w:rFonts w:hint="eastAsia" w:ascii="宋体" w:hAnsi="宋体" w:cs="宋体"/>
          <w:b/>
          <w:bCs/>
          <w:sz w:val="24"/>
        </w:rPr>
      </w:pPr>
      <w:r>
        <w:rPr>
          <w:rFonts w:hint="eastAsia" w:ascii="宋体" w:hAnsi="宋体" w:cs="宋体"/>
          <w:b/>
          <w:bCs/>
          <w:sz w:val="24"/>
        </w:rPr>
        <w:t xml:space="preserve">【须提由所投电梯品牌制造商委托的第三方检测机构出具的检测报告并加盖电梯品牌制造商公章的扫描件，未提供或提供不符要求的不得分。】</w:t>
      </w:r>
      <w:r/>
    </w:p>
    <w:p>
      <w:pPr>
        <w:ind w:firstLine="482"/>
        <w:spacing w:line="360" w:lineRule="auto"/>
        <w:rPr>
          <w:rFonts w:hint="eastAsia" w:ascii="宋体" w:hAnsi="宋体" w:cs="宋体"/>
          <w:b/>
          <w:bCs/>
          <w:sz w:val="24"/>
        </w:rPr>
      </w:pPr>
      <w:r>
        <w:rPr>
          <w:rFonts w:hint="eastAsia" w:ascii="宋体" w:hAnsi="宋体" w:cs="宋体"/>
          <w:b/>
          <w:bCs/>
          <w:sz w:val="24"/>
        </w:rPr>
        <w:t xml:space="preserve">6、物联网的安全性和先进性（3分）：</w:t>
      </w:r>
      <w:r/>
    </w:p>
    <w:p>
      <w:pPr>
        <w:ind w:firstLine="482"/>
        <w:spacing w:line="360" w:lineRule="auto"/>
        <w:rPr>
          <w:rFonts w:hint="eastAsia" w:ascii="宋体" w:hAnsi="宋体" w:cs="宋体"/>
          <w:sz w:val="24"/>
        </w:rPr>
      </w:pPr>
      <w:r>
        <w:rPr>
          <w:rFonts w:hint="eastAsia" w:ascii="宋体" w:hAnsi="宋体" w:cs="宋体"/>
          <w:sz w:val="24"/>
        </w:rPr>
        <w:t xml:space="preserve">1）投标品牌电梯物联网获得信息系统安全等级保护认证，等级为三级的得1分，等级为二级的得0.5分，等级为一级的得0.2分，本项最高得1分（提供市级以上政府机关出具的相关证明并加盖电梯品牌制造商公章的原件扫描件，未提供不得分）</w:t>
      </w:r>
      <w:r/>
    </w:p>
    <w:p>
      <w:pPr>
        <w:ind w:firstLine="482"/>
        <w:spacing w:line="360" w:lineRule="auto"/>
        <w:rPr>
          <w:rFonts w:hint="eastAsia" w:ascii="宋体" w:hAnsi="宋体" w:cs="宋体"/>
          <w:sz w:val="24"/>
        </w:rPr>
      </w:pPr>
      <w:r>
        <w:rPr>
          <w:rFonts w:hint="eastAsia" w:ascii="宋体" w:hAnsi="宋体" w:cs="宋体"/>
          <w:sz w:val="24"/>
        </w:rPr>
        <w:t xml:space="preserve">2）投标品牌电梯需采用电梯物联网技术，具备完善的电梯数据传输系统，符合以下要求的，每满足一项的，得0.5分，满分2分。</w:t>
      </w:r>
      <w:r/>
    </w:p>
    <w:p>
      <w:pPr>
        <w:ind w:firstLine="482"/>
        <w:spacing w:line="360" w:lineRule="auto"/>
        <w:rPr>
          <w:rFonts w:hint="eastAsia" w:ascii="宋体" w:hAnsi="宋体" w:cs="宋体"/>
          <w:sz w:val="24"/>
        </w:rPr>
      </w:pPr>
      <w:r>
        <w:rPr>
          <w:rFonts w:hint="eastAsia" w:ascii="宋体" w:hAnsi="宋体" w:cs="宋体"/>
          <w:sz w:val="24"/>
        </w:rPr>
        <w:t xml:space="preserve">a.监测平台（系统）应能在30min内监测到监测终端的离线状态；</w:t>
      </w:r>
      <w:r/>
    </w:p>
    <w:p>
      <w:pPr>
        <w:ind w:firstLine="482"/>
        <w:spacing w:line="360" w:lineRule="auto"/>
        <w:rPr>
          <w:rFonts w:hint="eastAsia" w:ascii="宋体" w:hAnsi="宋体" w:cs="宋体"/>
          <w:sz w:val="24"/>
        </w:rPr>
      </w:pPr>
      <w:r>
        <w:rPr>
          <w:rFonts w:hint="eastAsia" w:ascii="宋体" w:hAnsi="宋体" w:cs="宋体"/>
          <w:sz w:val="24"/>
        </w:rPr>
        <w:t xml:space="preserve">b.监测终端配置了图像采集装置，该装置应能存储图像信息；</w:t>
      </w:r>
      <w:r/>
    </w:p>
    <w:p>
      <w:pPr>
        <w:ind w:firstLine="482"/>
        <w:spacing w:line="360" w:lineRule="auto"/>
        <w:rPr>
          <w:rFonts w:hint="eastAsia" w:ascii="宋体" w:hAnsi="宋体" w:cs="宋体"/>
          <w:sz w:val="24"/>
        </w:rPr>
      </w:pPr>
      <w:r>
        <w:rPr>
          <w:rFonts w:hint="eastAsia" w:ascii="宋体" w:hAnsi="宋体" w:cs="宋体"/>
          <w:sz w:val="24"/>
        </w:rPr>
        <w:t xml:space="preserve">c.监测终端应配备紧急电源，应能将设备断电前的状态进行存储和发送，同时应保证能让电梯的图像采集装置工作至少1h；</w:t>
      </w:r>
      <w:r/>
    </w:p>
    <w:p>
      <w:pPr>
        <w:ind w:firstLine="482"/>
        <w:spacing w:line="360" w:lineRule="auto"/>
        <w:rPr>
          <w:rFonts w:hint="eastAsia" w:ascii="宋体" w:hAnsi="宋体" w:cs="宋体"/>
          <w:sz w:val="24"/>
        </w:rPr>
      </w:pPr>
      <w:r>
        <w:rPr>
          <w:rFonts w:hint="eastAsia" w:ascii="宋体" w:hAnsi="宋体" w:cs="宋体"/>
          <w:sz w:val="24"/>
        </w:rPr>
        <w:t xml:space="preserve">d.监测终端收到查询指令且设备实时运行状态发生变化时，其信息的发送间隔不大于1s。</w:t>
      </w:r>
      <w:r/>
    </w:p>
    <w:p>
      <w:pPr>
        <w:ind w:firstLine="482"/>
        <w:spacing w:line="360" w:lineRule="auto"/>
        <w:rPr>
          <w:rFonts w:hint="eastAsia" w:ascii="宋体" w:hAnsi="宋体" w:cs="宋体"/>
          <w:b/>
          <w:bCs/>
          <w:sz w:val="24"/>
        </w:rPr>
      </w:pPr>
      <w:r>
        <w:rPr>
          <w:rFonts w:hint="eastAsia" w:ascii="宋体" w:hAnsi="宋体" w:cs="宋体"/>
          <w:b/>
          <w:bCs/>
          <w:sz w:val="24"/>
        </w:rPr>
        <w:t xml:space="preserve">【需提供由所投电梯品牌制造商委托的第三方检测机构出具的所投品牌制造商的同品牌电梯数据传输系统的型式试验报告或委托试验报告或检验报告并加盖电梯品牌制造商公章的扫描件，未提供或提供不符要求的不得分。】</w:t>
      </w:r>
      <w:r/>
    </w:p>
    <w:p>
      <w:pPr>
        <w:ind w:firstLine="482"/>
        <w:spacing w:line="360" w:lineRule="auto"/>
        <w:tabs>
          <w:tab w:val="left" w:pos="630" w:leader="none"/>
        </w:tabs>
        <w:rPr>
          <w:rFonts w:hint="eastAsia" w:ascii="宋体" w:hAnsi="宋体"/>
          <w:b/>
          <w:sz w:val="24"/>
          <w:szCs w:val="24"/>
        </w:rPr>
      </w:pPr>
      <w:r>
        <w:rPr>
          <w:rFonts w:hint="eastAsia" w:ascii="宋体" w:hAnsi="宋体"/>
          <w:b/>
          <w:sz w:val="24"/>
          <w:szCs w:val="24"/>
        </w:rPr>
        <w:t xml:space="preserve">三、投标人及产品制造商综合评价（4分）</w:t>
      </w:r>
      <w:r/>
    </w:p>
    <w:p>
      <w:pPr>
        <w:ind w:firstLine="480"/>
        <w:spacing w:line="360" w:lineRule="auto"/>
      </w:pPr>
      <w:r>
        <w:rPr>
          <w:rFonts w:hint="eastAsia" w:ascii="宋体" w:hAnsi="宋体"/>
          <w:sz w:val="24"/>
          <w:szCs w:val="24"/>
        </w:rPr>
        <w:t xml:space="preserve">1、投标人或电梯制造商（含分支机构）连续五年（</w:t>
      </w:r>
      <w:r>
        <w:rPr>
          <w:rFonts w:hint="eastAsia" w:cs="宋体"/>
        </w:rPr>
        <w:t xml:space="preserve">2020-2024年度</w:t>
      </w:r>
      <w:r>
        <w:rPr>
          <w:rFonts w:hint="eastAsia" w:ascii="宋体" w:hAnsi="宋体"/>
          <w:sz w:val="24"/>
          <w:szCs w:val="24"/>
        </w:rPr>
        <w:t xml:space="preserve">）均获得省级及以上市场监督管理局颁发电梯维保单位星级证书(适用于项目实施地)：其中连续五年均为三星级（及以上的）维保资质的可得1分；连续三年均为四星级（及以上的）维保资质的可得2分；连续五年均为五星级维保资质的可得3分。本项最高得3分</w:t>
      </w:r>
      <w:r>
        <w:rPr>
          <w:rFonts w:hint="eastAsia" w:ascii="宋体" w:hAnsi="宋体"/>
          <w:b/>
          <w:bCs/>
          <w:sz w:val="24"/>
          <w:szCs w:val="24"/>
        </w:rPr>
        <w:t xml:space="preserve">【投标人或电梯制造商（含分支机构）只计取一次得分，计取最高级别分，不重复计分。本项最高得3分。提供年度星级评定证书原件的扫描件上传至投标文件中，否则不得分。】</w:t>
      </w:r>
      <w:r/>
    </w:p>
    <w:p>
      <w:pPr>
        <w:ind w:firstLine="482"/>
        <w:spacing w:line="360" w:lineRule="auto"/>
        <w:rPr>
          <w:rFonts w:hint="eastAsia" w:ascii="宋体" w:hAnsi="宋体" w:cs="宋体"/>
          <w:b/>
          <w:bCs/>
          <w:sz w:val="24"/>
        </w:rPr>
      </w:pPr>
      <w:r>
        <w:rPr>
          <w:rFonts w:hint="eastAsia" w:ascii="宋体" w:hAnsi="宋体"/>
          <w:b/>
          <w:bCs/>
          <w:sz w:val="24"/>
        </w:rPr>
        <w:t xml:space="preserve">2、售后服务承诺（1分）：</w:t>
      </w:r>
      <w:r>
        <w:rPr>
          <w:rFonts w:hint="eastAsia" w:ascii="宋体" w:hAnsi="宋体"/>
          <w:sz w:val="24"/>
        </w:rPr>
        <w:t xml:space="preserve">投标人承诺提供7年电梯质保的得1分。</w:t>
      </w:r>
      <w:r>
        <w:rPr>
          <w:rFonts w:hint="eastAsia" w:ascii="宋体" w:hAnsi="宋体" w:cs="宋体"/>
          <w:sz w:val="24"/>
          <w:szCs w:val="24"/>
        </w:rPr>
        <w:t xml:space="preserve">【</w:t>
      </w:r>
      <w:r>
        <w:rPr>
          <w:rFonts w:hint="eastAsia" w:ascii="宋体" w:hAnsi="宋体" w:cs="宋体"/>
          <w:b/>
          <w:bCs/>
          <w:sz w:val="24"/>
        </w:rPr>
        <w:t xml:space="preserve">承诺书格式自拟，承诺书加盖公章做到投标文件中，不提供或承诺内容不全不得分】</w:t>
      </w:r>
      <w:r/>
    </w:p>
    <w:p>
      <w:pPr>
        <w:pStyle w:val="1695"/>
        <w:ind w:firstLine="360"/>
        <w:spacing w:before="0" w:after="0"/>
        <w:rPr>
          <w:rFonts w:hint="eastAsia" w:ascii="宋体" w:hAnsi="宋体"/>
          <w:b/>
          <w:sz w:val="28"/>
          <w:szCs w:val="28"/>
        </w:rPr>
      </w:pPr>
      <w:r>
        <w:rPr>
          <w:rFonts w:hint="eastAsia" w:ascii="宋体" w:hAnsi="宋体"/>
          <w:b/>
          <w:sz w:val="28"/>
          <w:szCs w:val="28"/>
        </w:rPr>
        <w:t xml:space="preserve">四、技术部分（36分）</w:t>
      </w:r>
      <w:r/>
    </w:p>
    <w:p>
      <w:pPr>
        <w:pStyle w:val="1695"/>
        <w:ind w:firstLine="422"/>
        <w:spacing w:before="0" w:after="0"/>
        <w:rPr>
          <w:rFonts w:hint="eastAsia" w:ascii="宋体" w:hAnsi="宋体"/>
          <w:b/>
          <w:sz w:val="28"/>
          <w:szCs w:val="28"/>
          <w:u w:val="single"/>
        </w:rPr>
      </w:pPr>
      <w:r>
        <w:rPr>
          <w:rFonts w:hint="eastAsia" w:ascii="宋体" w:hAnsi="宋体"/>
          <w:b/>
          <w:sz w:val="28"/>
          <w:szCs w:val="28"/>
          <w:u w:val="single"/>
        </w:rPr>
        <w:t xml:space="preserve">注：</w:t>
      </w:r>
      <w:r>
        <w:rPr>
          <w:rFonts w:ascii="DengXian" w:hAnsi="DengXian" w:eastAsia="DengXian" w:cs="DengXian"/>
          <w:b/>
          <w:color w:val="000000"/>
          <w:sz w:val="28"/>
          <w:u w:val="single"/>
        </w:rPr>
        <w:t xml:space="preserve">技术部分属于暗标，暗标要求详见“二、供应商须知</w:t>
      </w:r>
      <w:r>
        <w:rPr>
          <w:rFonts w:ascii="SimSun" w:hAnsi="SimSun" w:eastAsia="SimSun" w:cs="SimSun"/>
          <w:b/>
          <w:color w:val="000000"/>
          <w:sz w:val="28"/>
          <w:u w:val="single"/>
        </w:rPr>
        <w:t xml:space="preserve">-</w:t>
      </w:r>
      <w:r>
        <w:rPr>
          <w:rFonts w:ascii="DengXian" w:hAnsi="DengXian" w:eastAsia="DengXian" w:cs="DengXian"/>
          <w:b/>
          <w:color w:val="000000"/>
          <w:sz w:val="28"/>
          <w:u w:val="single"/>
        </w:rPr>
        <w:t xml:space="preserve">（六）投标文件的要求”。</w:t>
      </w:r>
      <w:r>
        <w:rPr>
          <w:rFonts w:hint="eastAsia" w:ascii="宋体" w:hAnsi="宋体"/>
          <w:b/>
          <w:sz w:val="28"/>
          <w:szCs w:val="28"/>
          <w:u w:val="single"/>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1、项目实施方案</w:t>
      </w:r>
      <w:r>
        <w:rPr>
          <w:rFonts w:ascii="宋体" w:hAnsi="宋体" w:cs="宋体"/>
          <w:sz w:val="24"/>
          <w:szCs w:val="24"/>
        </w:rPr>
        <w:t xml:space="preserve">（</w:t>
      </w:r>
      <w:r>
        <w:rPr>
          <w:rFonts w:hint="eastAsia" w:ascii="宋体" w:hAnsi="宋体" w:cs="宋体"/>
          <w:sz w:val="24"/>
          <w:szCs w:val="24"/>
        </w:rPr>
        <w:t xml:space="preserve">8</w:t>
      </w:r>
      <w:r>
        <w:rPr>
          <w:rFonts w:ascii="宋体" w:hAnsi="宋体" w:cs="宋体"/>
          <w:sz w:val="24"/>
          <w:szCs w:val="24"/>
        </w:rPr>
        <w:t xml:space="preserve">分）</w:t>
      </w:r>
      <w:r/>
    </w:p>
    <w:p>
      <w:pPr>
        <w:ind w:firstLine="480"/>
        <w:spacing w:line="360" w:lineRule="auto"/>
        <w:rPr>
          <w:rFonts w:hint="eastAsia" w:ascii="宋体" w:hAnsi="宋体" w:cs="宋体"/>
          <w:sz w:val="24"/>
          <w:szCs w:val="24"/>
        </w:rPr>
      </w:pPr>
      <w:r>
        <w:rPr>
          <w:rFonts w:ascii="宋体" w:hAnsi="宋体" w:cs="宋体"/>
          <w:sz w:val="24"/>
          <w:szCs w:val="24"/>
        </w:rPr>
        <w:t xml:space="preserve">①施工工程组织总体设想</w:t>
      </w:r>
      <w:r>
        <w:rPr>
          <w:rFonts w:hint="eastAsia" w:ascii="宋体" w:hAnsi="宋体" w:cs="宋体"/>
          <w:sz w:val="24"/>
          <w:szCs w:val="24"/>
        </w:rPr>
        <w:t xml:space="preserve">（2分）</w:t>
      </w:r>
      <w:r/>
    </w:p>
    <w:p>
      <w:pPr>
        <w:ind w:firstLine="480"/>
        <w:spacing w:line="360" w:lineRule="auto"/>
        <w:rPr>
          <w:rFonts w:hint="eastAsia" w:ascii="宋体" w:hAnsi="宋体" w:cs="宋体"/>
          <w:sz w:val="24"/>
          <w:szCs w:val="24"/>
        </w:rPr>
      </w:pPr>
      <w:r>
        <w:rPr>
          <w:rFonts w:ascii="宋体" w:hAnsi="宋体" w:cs="宋体"/>
          <w:sz w:val="24"/>
          <w:szCs w:val="24"/>
        </w:rPr>
        <w:t xml:space="preserve">②电梯安装施工顺序及方案</w:t>
      </w:r>
      <w:r>
        <w:rPr>
          <w:rFonts w:hint="eastAsia" w:ascii="宋体" w:hAnsi="宋体" w:cs="宋体"/>
          <w:sz w:val="24"/>
          <w:szCs w:val="24"/>
        </w:rPr>
        <w:t xml:space="preserve">(2分）</w:t>
      </w:r>
      <w:r/>
    </w:p>
    <w:p>
      <w:pPr>
        <w:ind w:firstLine="480"/>
        <w:spacing w:line="360" w:lineRule="auto"/>
        <w:rPr>
          <w:rFonts w:hint="eastAsia" w:ascii="宋体" w:hAnsi="宋体" w:cs="宋体"/>
          <w:sz w:val="24"/>
          <w:szCs w:val="24"/>
        </w:rPr>
      </w:pPr>
      <w:r>
        <w:rPr>
          <w:rFonts w:ascii="宋体" w:hAnsi="宋体" w:cs="宋体"/>
          <w:sz w:val="24"/>
          <w:szCs w:val="24"/>
        </w:rPr>
        <w:t xml:space="preserve">③施工进度计划</w:t>
      </w:r>
      <w:r>
        <w:rPr>
          <w:rFonts w:hint="eastAsia" w:ascii="宋体" w:hAnsi="宋体" w:cs="宋体"/>
          <w:sz w:val="24"/>
          <w:szCs w:val="24"/>
        </w:rPr>
        <w:t xml:space="preserve">（2分）</w:t>
      </w:r>
      <w:r/>
    </w:p>
    <w:p>
      <w:pPr>
        <w:ind w:firstLine="480"/>
        <w:spacing w:line="360" w:lineRule="auto"/>
        <w:rPr>
          <w:rFonts w:hint="eastAsia" w:ascii="宋体" w:hAnsi="宋体" w:cs="宋体"/>
          <w:sz w:val="24"/>
          <w:szCs w:val="24"/>
        </w:rPr>
      </w:pPr>
      <w:r>
        <w:rPr>
          <w:rFonts w:ascii="宋体" w:hAnsi="宋体" w:cs="宋体"/>
          <w:sz w:val="24"/>
          <w:szCs w:val="24"/>
        </w:rPr>
        <w:t xml:space="preserve">④各阶段进度的保证措施（</w:t>
      </w:r>
      <w:r>
        <w:rPr>
          <w:rFonts w:hint="eastAsia" w:ascii="宋体" w:hAnsi="宋体" w:cs="宋体"/>
          <w:sz w:val="24"/>
          <w:szCs w:val="24"/>
        </w:rPr>
        <w:t xml:space="preserve">2</w:t>
      </w:r>
      <w:r>
        <w:rPr>
          <w:rFonts w:ascii="宋体" w:hAnsi="宋体" w:cs="宋体"/>
          <w:sz w:val="24"/>
          <w:szCs w:val="24"/>
        </w:rPr>
        <w:t xml:space="preserve">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人针对上述内容进行阐述，要求阐述内容完整合理、可行性强。不存在瑕疵的该条得2分；存在1处瑕疵的该条得1分；未提供方案或不满足项目需求书要求或内容存在2处及以上瑕疵的该条得0分；本项最高得8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2、内部管理制度(6分)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①人员组织、分工落实措施（2分）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②人员岗位培训方案（2分）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③管理责任和人员考核方案（2分）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人针对上述内容进行阐述，要求阐述内容完整合理、可行性强。不存在瑕疵的该条得2分；存在1处瑕疵的该条得1分；未提供方案或不满足项目需求书要求或内容存在2处及以上瑕疵的该条得0分；本项最高得6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3、质量保障措施、应急保障方案（8分）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①质量保障体系；（2分）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②质量保障目标及技术质量措施；（2分）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③应急保障措施内容及流程；（2分）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④突发事件应急预案及保障措施。（2分）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人针对上述内容进行阐述，要求阐述内容完整合理、可行性强。不存在瑕疵的该条得2分；存在1处瑕疵的该条得1分；未提供方案或不满足项目需求书要求或内容存在2处及以上瑕疵的该条得0分；本项最高得8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4、安全文明施工、电梯安装的安全保证措施及环境保护措施（6分）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①安全文明施工（2分）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②电梯安装的安全保证措施（2分）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③环境保护措施（2分）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人针对上述内容进行阐述，要求阐述内容完整合理、可行性强。不存在瑕疵的该条得2分；存在1处瑕疵的该条得1分；未提供方案或不满足项目需求书要求或内容存在2处及以上瑕疵的该条得0分；本项最高得6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5、售后服务方案（8分）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①售后服务体系（2分）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②售后服务承诺（2分）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③重大活动人员技术支持服务（2分）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④质保期后维护服务（2分）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人针对上述内容进行阐述，要求阐述内容完整合理、可行性强。不存在瑕疵的该条得2分；存在1处瑕疵的该条得1分；未提供方案或不满足项目需求书要求或内容存在2处及以上瑕疵的该条得0分；本项最高得8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jc w:val="left"/>
        <w:rPr>
          <w:rFonts w:ascii="黑体" w:eastAsia="黑体"/>
          <w:bCs/>
          <w:sz w:val="36"/>
          <w:szCs w:val="36"/>
        </w:rPr>
      </w:pPr>
      <w:r>
        <w:rPr>
          <w:rFonts w:ascii="黑体" w:eastAsia="黑体"/>
          <w:bCs/>
          <w:sz w:val="36"/>
          <w:szCs w:val="36"/>
        </w:rPr>
      </w:r>
      <w:r/>
    </w:p>
    <w:p>
      <w:pPr>
        <w:jc w:val="left"/>
        <w:rPr>
          <w:rFonts w:hint="eastAsia"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r>
      <w:r/>
    </w:p>
    <w:p>
      <w:pPr>
        <w:jc w:val="left"/>
        <w:rPr>
          <w:rFonts w:hint="eastAsia"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r>
      <w:r/>
    </w:p>
    <w:p>
      <w:pPr>
        <w:jc w:val="left"/>
        <w:rPr>
          <w:rFonts w:hint="eastAsia"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r>
      <w:r/>
    </w:p>
    <w:p>
      <w:pPr>
        <w:rPr>
          <w:rFonts w:hint="eastAsia"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br w:type="page" w:clear="all"/>
      </w:r>
      <w:r/>
    </w:p>
    <w:p>
      <w:pPr>
        <w:jc w:val="left"/>
        <w:rPr>
          <w:rFonts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t xml:space="preserve">附件二：投标文件格式</w:t>
      </w:r>
      <w:r/>
    </w:p>
    <w:p>
      <w:pPr>
        <w:rPr>
          <w:rFonts w:ascii="宋体" w:hAnsi="宋体" w:cs="宋体"/>
          <w:bCs/>
          <w:color w:val="000000"/>
          <w:sz w:val="32"/>
          <w:highlight w:val="none"/>
        </w:rPr>
      </w:pPr>
      <w:r>
        <w:rPr>
          <w:rFonts w:ascii="宋体" w:hAnsi="宋体" w:cs="宋体"/>
          <w:bCs/>
          <w:color w:val="000000"/>
          <w:sz w:val="32"/>
          <w:highlight w:val="none"/>
        </w:rPr>
      </w:r>
      <w:r/>
    </w:p>
    <w:p>
      <w:pPr>
        <w:rPr>
          <w:rFonts w:ascii="宋体" w:hAnsi="宋体" w:cs="宋体"/>
          <w:bCs/>
          <w:color w:val="000000"/>
          <w:sz w:val="32"/>
          <w:highlight w:val="none"/>
        </w:rPr>
      </w:pPr>
      <w:r>
        <w:rPr>
          <w:rFonts w:ascii="宋体" w:hAnsi="宋体" w:cs="宋体"/>
          <w:bCs/>
          <w:color w:val="000000"/>
          <w:sz w:val="3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投</w:t>
      </w:r>
      <w:r/>
    </w:p>
    <w:p>
      <w:pPr>
        <w:jc w:val="center"/>
        <w:rPr>
          <w:rFonts w:ascii="宋体" w:hAnsi="宋体" w:cs="宋体"/>
          <w:bCs/>
          <w:color w:val="000000"/>
          <w:sz w:val="72"/>
          <w:highlight w:val="none"/>
        </w:rPr>
      </w:pPr>
      <w:r>
        <w:rPr>
          <w:rFonts w:ascii="宋体" w:hAnsi="宋体" w:cs="宋体"/>
          <w:bCs/>
          <w:color w:val="000000"/>
          <w:sz w:val="7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标</w:t>
      </w:r>
      <w:r/>
    </w:p>
    <w:p>
      <w:pPr>
        <w:jc w:val="center"/>
        <w:rPr>
          <w:rFonts w:ascii="宋体" w:hAnsi="宋体" w:cs="宋体"/>
          <w:bCs/>
          <w:color w:val="000000"/>
          <w:sz w:val="72"/>
          <w:highlight w:val="none"/>
        </w:rPr>
      </w:pPr>
      <w:r>
        <w:rPr>
          <w:rFonts w:ascii="宋体" w:hAnsi="宋体" w:cs="宋体"/>
          <w:bCs/>
          <w:color w:val="000000"/>
          <w:sz w:val="7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文</w:t>
      </w:r>
      <w:r/>
    </w:p>
    <w:p>
      <w:pPr>
        <w:jc w:val="center"/>
        <w:rPr>
          <w:rFonts w:ascii="宋体" w:hAnsi="宋体" w:cs="宋体"/>
          <w:bCs/>
          <w:color w:val="000000"/>
          <w:sz w:val="52"/>
          <w:szCs w:val="52"/>
          <w:highlight w:val="none"/>
        </w:rPr>
      </w:pPr>
      <w:r>
        <w:rPr>
          <w:rFonts w:ascii="宋体" w:hAnsi="宋体" w:cs="宋体"/>
          <w:bCs/>
          <w:color w:val="000000"/>
          <w:sz w:val="52"/>
          <w:szCs w:val="52"/>
          <w:highlight w:val="none"/>
        </w:rPr>
      </w:r>
      <w:r/>
    </w:p>
    <w:p>
      <w:pPr>
        <w:jc w:val="center"/>
        <w:rPr>
          <w:rFonts w:ascii="宋体" w:hAnsi="宋体" w:cs="宋体"/>
          <w:bCs/>
          <w:color w:val="000000"/>
          <w:sz w:val="72"/>
          <w:highlight w:val="none"/>
        </w:rPr>
      </w:pPr>
      <w:r>
        <w:rPr>
          <w:rFonts w:hint="eastAsia" w:ascii="宋体" w:hAnsi="宋体" w:cs="宋体"/>
          <w:bCs/>
          <w:color w:val="000000"/>
          <w:sz w:val="52"/>
          <w:szCs w:val="52"/>
          <w:highlight w:val="none"/>
        </w:rPr>
        <w:t xml:space="preserve">件</w:t>
      </w:r>
      <w:r/>
    </w:p>
    <w:p>
      <w:pPr>
        <w:rPr>
          <w:rFonts w:ascii="宋体" w:hAnsi="宋体" w:cs="宋体"/>
          <w:bCs/>
          <w:color w:val="000000"/>
          <w:sz w:val="28"/>
          <w:highlight w:val="none"/>
        </w:rPr>
      </w:pPr>
      <w:r>
        <w:rPr>
          <w:rFonts w:ascii="宋体" w:hAnsi="宋体" w:cs="宋体"/>
          <w:bCs/>
          <w:color w:val="000000"/>
          <w:sz w:val="28"/>
          <w:highlight w:val="none"/>
        </w:rPr>
      </w:r>
      <w:r/>
    </w:p>
    <w:p>
      <w:pPr>
        <w:pStyle w:val="1040"/>
        <w:rPr>
          <w:rFonts w:ascii="宋体" w:hAnsi="宋体" w:cs="宋体"/>
          <w:bCs/>
          <w:color w:val="000000"/>
          <w:sz w:val="28"/>
          <w:highlight w:val="none"/>
        </w:rPr>
      </w:pPr>
      <w:r>
        <w:rPr>
          <w:rFonts w:ascii="宋体" w:hAnsi="宋体" w:cs="宋体"/>
          <w:bCs/>
          <w:color w:val="000000"/>
          <w:sz w:val="28"/>
          <w:highlight w:val="none"/>
        </w:rPr>
      </w:r>
      <w:r/>
    </w:p>
    <w:p>
      <w:pPr>
        <w:rPr>
          <w:rFonts w:ascii="宋体" w:hAnsi="宋体" w:cs="宋体"/>
          <w:bCs/>
          <w:color w:val="000000"/>
          <w:sz w:val="28"/>
          <w:highlight w:val="none"/>
        </w:rPr>
      </w:pPr>
      <w:r>
        <w:rPr>
          <w:rFonts w:ascii="宋体" w:hAnsi="宋体" w:cs="宋体"/>
          <w:bCs/>
          <w:color w:val="000000"/>
          <w:sz w:val="28"/>
          <w:highlight w:val="none"/>
        </w:rPr>
      </w:r>
      <w:r/>
    </w:p>
    <w:p>
      <w:pPr>
        <w:pStyle w:val="1040"/>
        <w:ind w:left="0"/>
        <w:rPr>
          <w:rFonts w:ascii="宋体" w:hAnsi="宋体" w:cs="宋体"/>
          <w:bCs/>
          <w:color w:val="000000"/>
          <w:sz w:val="28"/>
          <w:highlight w:val="none"/>
        </w:rPr>
      </w:pPr>
      <w:r>
        <w:rPr>
          <w:rFonts w:ascii="宋体" w:hAnsi="宋体" w:cs="宋体"/>
          <w:bCs/>
          <w:color w:val="000000"/>
          <w:sz w:val="28"/>
          <w:highlight w:val="none"/>
        </w:rPr>
      </w:r>
      <w:r/>
    </w:p>
    <w:p>
      <w:pPr>
        <w:rPr>
          <w:highlight w:val="none"/>
        </w:rPr>
      </w:pPr>
      <w:r>
        <w:rPr>
          <w:highlight w:val="none"/>
        </w:rPr>
      </w:r>
      <w:r/>
    </w:p>
    <w:p>
      <w:pPr>
        <w:ind w:firstLine="1400"/>
        <w:rPr>
          <w:rFonts w:hint="eastAsia" w:ascii="宋体" w:hAnsi="宋体" w:eastAsia="等线" w:cs="宋体"/>
          <w:bCs/>
          <w:color w:val="000000"/>
          <w:sz w:val="28"/>
          <w:szCs w:val="28"/>
          <w:highlight w:val="none"/>
          <w:lang w:eastAsia="zh-CN"/>
        </w:rPr>
        <w:outlineLvl w:val="0"/>
      </w:pPr>
      <w:r>
        <w:rPr>
          <w:rFonts w:hint="eastAsia" w:ascii="宋体" w:hAnsi="宋体" w:cs="宋体"/>
          <w:bCs/>
          <w:color w:val="000000"/>
          <w:sz w:val="28"/>
          <w:szCs w:val="28"/>
          <w:highlight w:val="none"/>
        </w:rPr>
        <w:t xml:space="preserve">采购项目编号：</w:t>
      </w:r>
      <w:r>
        <w:rPr>
          <w:rFonts w:hint="eastAsia" w:ascii="宋体" w:hAnsi="Times New Roman" w:eastAsia="黑体"/>
          <w:color w:val="000000"/>
          <w:sz w:val="30"/>
          <w:szCs w:val="30"/>
          <w:highlight w:val="none"/>
          <w:lang w:eastAsia="zh-CN"/>
        </w:rPr>
        <w:t xml:space="preserve">JSZC-320205-JZCG-G2026-0024</w:t>
      </w:r>
      <w:r/>
    </w:p>
    <w:p>
      <w:pPr>
        <w:ind w:left="3356" w:hanging="1960"/>
        <w:spacing w:line="360" w:lineRule="auto"/>
        <w:rPr>
          <w:rFonts w:ascii="宋体" w:hAnsi="宋体" w:cs="宋体"/>
          <w:bCs/>
          <w:color w:val="000000"/>
          <w:sz w:val="28"/>
          <w:szCs w:val="28"/>
          <w:highlight w:val="none"/>
        </w:rPr>
        <w:outlineLvl w:val="0"/>
      </w:pPr>
      <w:r>
        <w:rPr>
          <w:rFonts w:ascii="宋体" w:hAnsi="宋体" w:cs="宋体"/>
          <w:bCs/>
          <w:color w:val="000000"/>
          <w:sz w:val="28"/>
          <w:szCs w:val="28"/>
          <w:highlight w:val="none"/>
        </w:rPr>
      </w:r>
      <w:r/>
    </w:p>
    <w:p>
      <w:pPr>
        <w:ind w:left="3356" w:hanging="1960"/>
        <w:spacing w:line="360" w:lineRule="auto"/>
        <w:rPr>
          <w:rFonts w:hint="eastAsia" w:ascii="宋体" w:hAnsi="宋体" w:eastAsia="等线" w:cs="宋体"/>
          <w:bCs/>
          <w:color w:val="000000"/>
          <w:sz w:val="28"/>
          <w:szCs w:val="28"/>
          <w:highlight w:val="none"/>
          <w:lang w:eastAsia="zh-CN"/>
        </w:rPr>
        <w:outlineLvl w:val="0"/>
      </w:pPr>
      <w:r>
        <w:rPr>
          <w:rFonts w:hint="eastAsia" w:ascii="宋体" w:hAnsi="宋体" w:cs="宋体"/>
          <w:bCs/>
          <w:color w:val="000000"/>
          <w:sz w:val="28"/>
          <w:szCs w:val="28"/>
          <w:highlight w:val="none"/>
        </w:rPr>
        <w:t xml:space="preserve">采购项目名称：</w:t>
      </w:r>
      <w:r>
        <w:rPr>
          <w:rFonts w:hint="eastAsia" w:ascii="宋体" w:hAnsi="宋体" w:cs="宋体"/>
          <w:bCs/>
          <w:color w:val="000000"/>
          <w:sz w:val="28"/>
          <w:szCs w:val="28"/>
          <w:highlight w:val="none"/>
          <w:lang w:eastAsia="zh-CN"/>
        </w:rPr>
        <w:t xml:space="preserve">东亭街道安置房小区老旧电梯更新项目</w:t>
      </w:r>
      <w:r/>
    </w:p>
    <w:p>
      <w:pPr>
        <w:ind w:left="3356" w:hanging="1960"/>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ind w:left="3356" w:hanging="1960"/>
        <w:spacing w:line="360" w:lineRule="auto"/>
        <w:rPr>
          <w:rFonts w:ascii="宋体" w:hAnsi="宋体" w:cs="宋体"/>
          <w:bCs/>
          <w:color w:val="000000"/>
          <w:sz w:val="28"/>
          <w:szCs w:val="28"/>
          <w:highlight w:val="none"/>
        </w:rPr>
        <w:outlineLvl w:val="0"/>
      </w:pPr>
      <w:r>
        <w:rPr>
          <w:rFonts w:hint="eastAsia" w:ascii="宋体" w:hAnsi="宋体" w:cs="宋体"/>
          <w:bCs/>
          <w:color w:val="000000"/>
          <w:sz w:val="28"/>
          <w:szCs w:val="28"/>
          <w:highlight w:val="none"/>
        </w:rPr>
        <w:t xml:space="preserve">供应商：</w:t>
      </w:r>
      <w:r/>
    </w:p>
    <w:p>
      <w:pPr>
        <w:pStyle w:val="1040"/>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pStyle w:val="1040"/>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pStyle w:val="1040"/>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jc w:val="center"/>
        <w:rPr>
          <w:rFonts w:ascii="宋体" w:hAnsi="宋体" w:cs="宋体"/>
          <w:bCs/>
          <w:color w:val="000000"/>
          <w:sz w:val="36"/>
          <w:szCs w:val="36"/>
          <w:highlight w:val="none"/>
        </w:rPr>
      </w:pPr>
      <w:r>
        <w:rPr>
          <w:rFonts w:hint="eastAsia" w:ascii="宋体" w:hAnsi="宋体" w:cs="宋体"/>
          <w:bCs/>
          <w:color w:val="000000"/>
          <w:sz w:val="36"/>
          <w:szCs w:val="36"/>
          <w:highlight w:val="none"/>
          <w:lang w:eastAsia="zh-CN"/>
        </w:rPr>
        <w:t xml:space="preserve">二〇二五</w:t>
      </w:r>
      <w:r>
        <w:rPr>
          <w:rFonts w:hint="eastAsia" w:ascii="宋体" w:hAnsi="宋体" w:cs="宋体"/>
          <w:bCs/>
          <w:color w:val="000000"/>
          <w:sz w:val="36"/>
          <w:szCs w:val="36"/>
          <w:highlight w:val="none"/>
        </w:rPr>
        <w:t xml:space="preserve">年  月  日</w:t>
      </w:r>
      <w:r/>
    </w:p>
    <w:p>
      <w:pPr>
        <w:pStyle w:val="1068"/>
        <w:ind w:firstLine="0"/>
        <w:rPr>
          <w:color w:val="000000"/>
          <w:highlight w:val="none"/>
        </w:rPr>
      </w:pPr>
      <w:r/>
      <w:bookmarkStart w:id="28" w:name="一．报价函（格式）"/>
      <w:r/>
      <w:bookmarkEnd w:id="28"/>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（一）投标函（格式）：</w:t>
      </w:r>
      <w:r/>
    </w:p>
    <w:p>
      <w:pPr>
        <w:rPr>
          <w:rFonts w:ascii="宋体"/>
          <w:b/>
          <w:bCs/>
          <w:color w:val="000000"/>
          <w:sz w:val="24"/>
          <w:szCs w:val="24"/>
          <w:highlight w:val="none"/>
        </w:rPr>
        <w:outlineLvl w:val="0"/>
      </w:pPr>
      <w:r>
        <w:rPr>
          <w:rFonts w:ascii="宋体"/>
          <w:b/>
          <w:bCs/>
          <w:color w:val="000000"/>
          <w:sz w:val="24"/>
          <w:szCs w:val="24"/>
          <w:highlight w:val="none"/>
        </w:rPr>
      </w:r>
      <w:r/>
    </w:p>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投  标  函</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致无锡市公共资源交易中心锡山分中心：</w:t>
      </w:r>
      <w:r/>
    </w:p>
    <w:p>
      <w:pPr>
        <w:ind w:firstLine="480"/>
        <w:jc w:val="left"/>
        <w:spacing w:line="360" w:lineRule="auto"/>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我方收到贵方编号</w:t>
      </w:r>
      <w:r>
        <w:rPr>
          <w:rFonts w:hint="eastAsia" w:ascii="宋体" w:hAnsi="宋体" w:eastAsia="宋体" w:cs="宋体"/>
          <w:bCs/>
          <w:color w:val="000000"/>
          <w:sz w:val="24"/>
          <w:szCs w:val="24"/>
          <w:highlight w:val="none"/>
          <w:lang w:eastAsia="zh-CN"/>
        </w:rPr>
        <w:t xml:space="preserve">JSZC-320205-JZCG-G2026-0024</w:t>
      </w:r>
      <w:r>
        <w:rPr>
          <w:rFonts w:hint="eastAsia" w:ascii="宋体" w:hAnsi="宋体" w:eastAsia="宋体" w:cs="宋体"/>
          <w:bCs/>
          <w:color w:val="000000"/>
          <w:sz w:val="24"/>
          <w:szCs w:val="24"/>
          <w:highlight w:val="none"/>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312"/>
          <w:rFonts w:hint="eastAsia"/>
          <w:bCs/>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二、我方愿意提供无锡市公共资源交易中心锡山分中心在招标文件中要求的文件、资料。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五、我方愿意遵守《中华人民共和国政府采购法》，并按《中华人民共和国民法典》、财政部《政府采购货物和服务招标投标管理办法》</w:t>
      </w:r>
      <w:r>
        <w:rPr>
          <w:rFonts w:hint="eastAsia" w:ascii="宋体" w:hAnsi="宋体" w:eastAsia="宋体" w:cs="宋体"/>
          <w:color w:val="000000" w:themeColor="text1"/>
          <w:sz w:val="24"/>
          <w:szCs w:val="24"/>
          <w:highlight w:val="none"/>
          <w14:textFill>
            <w14:solidFill>
              <w14:schemeClr w14:val="tx1"/>
            </w14:solidFill>
          </w14:textFill>
        </w:rPr>
        <w:t xml:space="preserve">和</w:t>
      </w:r>
      <w:r>
        <w:rPr>
          <w:rFonts w:hint="eastAsia" w:ascii="宋体" w:hAnsi="宋体" w:eastAsia="宋体" w:cs="宋体"/>
          <w:bCs/>
          <w:color w:val="000000" w:themeColor="text1"/>
          <w:sz w:val="24"/>
          <w:szCs w:val="24"/>
          <w:highlight w:val="none"/>
          <w14:textFill>
            <w14:solidFill>
              <w14:schemeClr w14:val="tx1"/>
            </w14:solidFill>
          </w14:textFill>
        </w:rPr>
        <w:t xml:space="preserve">合同条款履行自己的全部责任。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六、我方愿意向贵方提供任何与本项报价有关的数据、情况和技术资料。若贵方需要，我方愿意提供我方做出的一切承诺的证明材料。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十一、我方承诺不非法转包、分包。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十二、我方不存在为本项目提供整体设计、规范编制或者项目管理、监理、检测等服务。</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三、我方绝不提供虚假材料谋取中标、绝不采取不正当手段诋毁、排挤其他供应商、绝不与采购人、其他供应商或者采购中心恶意串通、绝不向采购人、公共资源交易中心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以上条款，如有违反，愿依照国家相关法律处理，并承担由此给采购人带来的损失</w:t>
      </w:r>
      <w:r>
        <w:rPr>
          <w:rFonts w:hint="eastAsia" w:ascii="宋体" w:hAnsi="宋体" w:eastAsia="宋体" w:cs="宋体"/>
          <w:bCs/>
          <w:color w:val="000000" w:themeColor="text1"/>
          <w:sz w:val="24"/>
          <w:highlight w:val="none"/>
          <w14:textFill>
            <w14:solidFill>
              <w14:schemeClr w14:val="tx1"/>
            </w14:solidFill>
          </w14:textFill>
        </w:rPr>
        <w:t xml:space="preserve">。</w:t>
      </w:r>
      <w:r/>
    </w:p>
    <w:p>
      <w:pPr>
        <w:pStyle w:val="126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供应商（盖章）：     </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电话：                              传真：</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通讯地址：                          邮编：</w:t>
      </w:r>
      <w:r/>
    </w:p>
    <w:p>
      <w:pPr>
        <w:pStyle w:val="1268"/>
        <w:rPr>
          <w:rFonts w:ascii="宋体" w:hAnsi="宋体" w:eastAsia="宋体" w:cs="宋体"/>
          <w:color w:val="000000"/>
          <w:highlight w:val="none"/>
        </w:rPr>
      </w:pPr>
      <w:r>
        <w:rPr>
          <w:rFonts w:ascii="宋体" w:hAnsi="宋体" w:eastAsia="宋体" w:cs="宋体"/>
          <w:color w:val="000000"/>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pacing w:line="360" w:lineRule="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pacing w:line="360" w:lineRule="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pacing w:line="360" w:lineRule="auto"/>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（二）（供应商）关于资格的声明函（格式）：</w:t>
      </w:r>
      <w:r/>
    </w:p>
    <w:p>
      <w:pPr>
        <w:ind w:firstLine="720"/>
        <w:spacing w:line="360" w:lineRule="auto"/>
        <w:rPr>
          <w:rFonts w:ascii="黑体" w:eastAsia="黑体"/>
          <w:bCs/>
          <w:color w:val="000000"/>
          <w:sz w:val="36"/>
          <w:highlight w:val="none"/>
        </w:rPr>
      </w:pPr>
      <w:r>
        <w:rPr>
          <w:rFonts w:ascii="黑体" w:eastAsia="黑体"/>
          <w:bCs/>
          <w:color w:val="000000"/>
          <w:sz w:val="36"/>
          <w:highlight w:val="none"/>
        </w:rPr>
      </w:r>
      <w:r/>
    </w:p>
    <w:p>
      <w:pPr>
        <w:ind w:firstLine="560"/>
        <w:jc w:val="center"/>
        <w:spacing w:line="360" w:lineRule="auto"/>
        <w:rPr>
          <w:rFonts w:ascii="宋体" w:hAnsi="宋体"/>
          <w:bCs/>
          <w:color w:val="000000"/>
          <w:sz w:val="28"/>
          <w:szCs w:val="28"/>
          <w:highlight w:val="none"/>
        </w:rPr>
      </w:pPr>
      <w:r/>
      <w:bookmarkStart w:id="29" w:name="报价方关于资格的声明函（格式）"/>
      <w:r/>
      <w:bookmarkEnd w:id="29"/>
      <w:r>
        <w:rPr>
          <w:rFonts w:ascii="宋体" w:hAnsi="宋体"/>
          <w:bCs/>
          <w:color w:val="000000"/>
          <w:sz w:val="28"/>
          <w:szCs w:val="28"/>
          <w:highlight w:val="none"/>
        </w:rPr>
        <w:t xml:space="preserve">关于资格的声明函</w:t>
      </w:r>
      <w:r/>
    </w:p>
    <w:p>
      <w:pPr>
        <w:spacing w:line="360" w:lineRule="auto"/>
        <w:rPr>
          <w:rFonts w:ascii="宋体" w:hAnsi="宋体"/>
          <w:bCs/>
          <w:color w:val="000000"/>
          <w:sz w:val="28"/>
          <w:szCs w:val="28"/>
          <w:highlight w:val="none"/>
        </w:rPr>
      </w:pPr>
      <w:r>
        <w:rPr>
          <w:rFonts w:ascii="宋体" w:hAnsi="宋体"/>
          <w:bCs/>
          <w:color w:val="000000"/>
          <w:sz w:val="28"/>
          <w:szCs w:val="28"/>
          <w:highlight w:val="none"/>
        </w:rPr>
      </w:r>
      <w:r/>
    </w:p>
    <w:p>
      <w:pPr>
        <w:ind w:firstLine="600"/>
        <w:jc w:val="center"/>
        <w:spacing w:line="360" w:lineRule="auto"/>
        <w:rPr>
          <w:rFonts w:ascii="宋体" w:hAnsi="宋体"/>
          <w:bCs/>
          <w:color w:val="000000"/>
          <w:sz w:val="24"/>
          <w:szCs w:val="24"/>
          <w:highlight w:val="none"/>
        </w:rPr>
      </w:pPr>
      <w:r>
        <w:rPr>
          <w:rFonts w:ascii="宋体" w:hAnsi="宋体"/>
          <w:bCs/>
          <w:color w:val="000000"/>
          <w:sz w:val="30"/>
          <w:highlight w:val="none"/>
        </w:rPr>
        <w:t xml:space="preserve">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政府采购编号：</w:t>
      </w:r>
      <w:r>
        <w:rPr>
          <w:rFonts w:hint="eastAsia" w:ascii="宋体" w:hAnsi="宋体"/>
          <w:bCs/>
          <w:color w:val="000000"/>
          <w:sz w:val="24"/>
          <w:szCs w:val="24"/>
          <w:highlight w:val="none"/>
          <w:lang w:eastAsia="zh-CN"/>
        </w:rPr>
        <w:t xml:space="preserve">JSZC-320205-JZCG-G2026-0024</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 </w:t>
      </w:r>
      <w:r/>
    </w:p>
    <w:p>
      <w:pPr>
        <w:ind w:firstLine="480"/>
        <w:jc w:val="center"/>
        <w:spacing w:line="360" w:lineRule="auto"/>
        <w:tabs>
          <w:tab w:val="left" w:pos="6300" w:leader="none"/>
        </w:tabs>
        <w:rPr>
          <w:rFonts w:ascii="宋体" w:hAnsi="宋体"/>
          <w:bCs/>
          <w:color w:val="000000"/>
          <w:sz w:val="24"/>
          <w:szCs w:val="24"/>
          <w:highlight w:val="none"/>
        </w:rPr>
      </w:pPr>
      <w:r>
        <w:rPr>
          <w:rFonts w:ascii="宋体" w:hAnsi="宋体"/>
          <w:bCs/>
          <w:color w:val="000000"/>
          <w:sz w:val="24"/>
          <w:szCs w:val="24"/>
          <w:highlight w:val="none"/>
        </w:rPr>
        <w:t xml:space="preserve">        日期：</w:t>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无锡市公共资源交易中心锡山分中心：</w:t>
      </w:r>
      <w:r/>
    </w:p>
    <w:p>
      <w:pPr>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我公司(单位)愿针对本次</w:t>
      </w:r>
      <w:r>
        <w:rPr>
          <w:rFonts w:hint="eastAsia" w:ascii="Times New Roman" w:hAnsi="Times New Roman" w:eastAsia="宋体"/>
          <w:bCs/>
          <w:color w:val="000000"/>
          <w:sz w:val="24"/>
          <w:szCs w:val="24"/>
          <w:highlight w:val="none"/>
          <w:u w:val="single"/>
          <w:lang w:eastAsia="zh-CN"/>
        </w:rPr>
        <w:t xml:space="preserve">东亭街道安置房小区老旧电梯更新项目</w:t>
      </w:r>
      <w:r>
        <w:rPr>
          <w:rFonts w:hint="eastAsia" w:ascii="宋体" w:hAnsi="宋体" w:eastAsia="宋体"/>
          <w:bCs/>
          <w:color w:val="000000"/>
          <w:sz w:val="24"/>
          <w:szCs w:val="24"/>
          <w:highlight w:val="none"/>
        </w:rPr>
        <w:t xml:space="preserve">进行投标。</w:t>
      </w:r>
      <w:r/>
    </w:p>
    <w:p>
      <w:pPr>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我公司(单位)符合《中华人民共和国政府采购法》第二十二条的规定，在此郑重承诺具备以下条件：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（一）具有独立承担民事责任的能力；</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（二）具有良好的商业信誉和健全的财务会计制度；</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（三）具有履行合同所必需的设备和专业技术能力；</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（四）有依法缴纳税收和社会保障资金的良好记录；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（五）近三年内，在经营活动中没有重大违法记录；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（六）投标文件中所有关于投标资格的文件、证明、陈述均是真实的、准确的。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若有违背，我公司（单位）愿意承担由此而产生的一切后果。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供应商（盖章）：</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法定代表人（签字或盖章）：</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ascii="黑体" w:hAnsi="宋体" w:eastAsia="黑体"/>
          <w:color w:val="000000"/>
          <w:sz w:val="24"/>
          <w:szCs w:val="24"/>
          <w:highlight w:val="none"/>
        </w:rPr>
        <w:outlineLvl w:val="0"/>
      </w:pPr>
      <w:r>
        <w:rPr>
          <w:rFonts w:ascii="黑体" w:hAnsi="宋体" w:eastAsia="黑体"/>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（三）（供应商）法定代表人授权委托书（格式）：</w:t>
      </w:r>
      <w:r/>
    </w:p>
    <w:p>
      <w:pPr>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法定代表人授权委托书</w:t>
      </w:r>
      <w:r/>
    </w:p>
    <w:p>
      <w:pPr>
        <w:jc w:val="center"/>
        <w:spacing w:line="360" w:lineRule="auto"/>
        <w:rPr>
          <w:rFonts w:ascii="楷体_GB2312" w:eastAsia="楷体_GB2312"/>
          <w:bCs/>
          <w:color w:val="000000"/>
          <w:sz w:val="36"/>
          <w:highlight w:val="none"/>
        </w:rPr>
      </w:pPr>
      <w:r>
        <w:rPr>
          <w:rFonts w:ascii="楷体_GB2312" w:eastAsia="楷体_GB2312"/>
          <w:bCs/>
          <w:color w:val="000000"/>
          <w:sz w:val="36"/>
          <w:highlight w:val="none"/>
        </w:rPr>
      </w:r>
      <w:r/>
    </w:p>
    <w:p>
      <w:pPr>
        <w:spacing w:line="480" w:lineRule="auto"/>
        <w:rPr>
          <w:rFonts w:hint="eastAsia" w:ascii="宋体" w:eastAsia="等线"/>
          <w:bCs/>
          <w:color w:val="000000"/>
          <w:sz w:val="24"/>
          <w:szCs w:val="24"/>
          <w:highlight w:val="none"/>
          <w:lang w:eastAsia="zh-CN"/>
        </w:rPr>
      </w:pPr>
      <w:r>
        <w:rPr>
          <w:rFonts w:ascii="楷体_GB2312" w:eastAsia="楷体_GB2312"/>
          <w:bCs/>
          <w:color w:val="000000"/>
          <w:sz w:val="30"/>
          <w:highlight w:val="none"/>
        </w:rPr>
        <w:t xml:space="preserve">                           </w:t>
      </w:r>
      <w:r>
        <w:rPr>
          <w:rFonts w:hint="eastAsia" w:ascii="宋体" w:hAnsi="宋体"/>
          <w:bCs/>
          <w:color w:val="000000"/>
          <w:sz w:val="24"/>
          <w:szCs w:val="24"/>
          <w:highlight w:val="none"/>
        </w:rPr>
        <w:t xml:space="preserve">采购项目编号：</w:t>
      </w:r>
      <w:r>
        <w:rPr>
          <w:rFonts w:hint="eastAsia" w:ascii="宋体" w:hAnsi="宋体"/>
          <w:bCs/>
          <w:color w:val="000000"/>
          <w:sz w:val="24"/>
          <w:szCs w:val="24"/>
          <w:highlight w:val="none"/>
          <w:lang w:eastAsia="zh-CN"/>
        </w:rPr>
        <w:t xml:space="preserve">JSZC-320205-JZCG-G2026-0024</w:t>
      </w:r>
      <w:r/>
    </w:p>
    <w:p>
      <w:pPr>
        <w:spacing w:line="480" w:lineRule="auto"/>
        <w:rPr>
          <w:rFonts w:ascii="宋体"/>
          <w:bCs/>
          <w:color w:val="000000"/>
          <w:sz w:val="24"/>
          <w:szCs w:val="24"/>
          <w:highlight w:val="none"/>
        </w:rPr>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日期：</w:t>
      </w:r>
      <w:r/>
    </w:p>
    <w:p>
      <w:pPr>
        <w:spacing w:line="60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无锡市公共资源交易中心锡山分中心：</w:t>
      </w:r>
      <w:r/>
    </w:p>
    <w:p>
      <w:pPr>
        <w:ind w:firstLine="480"/>
        <w:spacing w:line="6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系中华人民共和国合法公司（单位），特授权</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代表我公司（单位）全权办理针对本项目（ </w:t>
      </w:r>
      <w:r>
        <w:rPr>
          <w:rFonts w:hint="eastAsia" w:ascii="Times New Roman" w:hAnsi="Times New Roman" w:eastAsia="宋体"/>
          <w:bCs/>
          <w:color w:val="000000"/>
          <w:sz w:val="24"/>
          <w:szCs w:val="24"/>
          <w:highlight w:val="none"/>
          <w:u w:val="single"/>
          <w:lang w:eastAsia="zh-CN"/>
        </w:rPr>
        <w:t xml:space="preserve">东亭街道安置房小区老旧电梯更新项目</w:t>
      </w:r>
      <w:r>
        <w:rPr>
          <w:rFonts w:hint="eastAsia" w:ascii="宋体" w:hAnsi="宋体" w:eastAsia="宋体" w:cs="宋体"/>
          <w:bCs/>
          <w:color w:val="000000"/>
          <w:sz w:val="24"/>
          <w:szCs w:val="24"/>
          <w:highlight w:val="none"/>
        </w:rPr>
        <w:t xml:space="preserve"> ）的投标、</w:t>
      </w:r>
      <w:r>
        <w:rPr>
          <w:rFonts w:hint="eastAsia" w:ascii="宋体" w:hAnsi="宋体" w:eastAsia="宋体" w:cs="宋体"/>
          <w:bCs/>
          <w:color w:val="000000" w:themeColor="text1"/>
          <w:sz w:val="24"/>
          <w:szCs w:val="24"/>
          <w:highlight w:val="none"/>
          <w14:textFill>
            <w14:solidFill>
              <w14:schemeClr w14:val="tx1"/>
            </w14:solidFill>
          </w14:textFill>
        </w:rPr>
        <w:t xml:space="preserve">参与开标、评标、签约等具体工作，并签署全部有关的文件、协议及合同。</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我公司（单位）对被授权代表的签名负全部责任。</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被授权代表情况：</w:t>
      </w:r>
      <w:r/>
    </w:p>
    <w:p>
      <w:pPr>
        <w:ind w:firstLine="525"/>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姓名：         性别：       电话：</w:t>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单位名称（盖章）：</w:t>
      </w:r>
      <w:r/>
    </w:p>
    <w:p>
      <w:pPr>
        <w:ind w:firstLine="40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法定代表人（签字或盖章）：</w:t>
      </w:r>
      <w:r/>
    </w:p>
    <w:p>
      <w:pPr>
        <w:ind w:firstLine="4080"/>
        <w:spacing w:line="580" w:lineRule="exact"/>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420"/>
        <w:spacing w:line="580" w:lineRule="exact"/>
        <w:rPr>
          <w:rFonts w:ascii="宋体"/>
          <w:bCs/>
          <w:color w:val="000000"/>
          <w:sz w:val="24"/>
          <w:szCs w:val="24"/>
          <w:highlight w:val="none"/>
        </w:rPr>
      </w:pPr>
      <w:r>
        <w:rPr>
          <w:rFonts w:ascii="宋体"/>
          <w:bCs/>
          <w:color w:val="000000"/>
          <w:sz w:val="24"/>
          <w:szCs w:val="24"/>
          <w:highlight w:val="none"/>
        </w:rPr>
      </w:r>
      <w:r/>
    </w:p>
    <w:p>
      <w:pPr>
        <w:ind w:firstLine="420"/>
        <w:spacing w:line="580" w:lineRule="exact"/>
        <w:rPr>
          <w:rFonts w:ascii="宋体"/>
          <w:bCs/>
          <w:color w:val="000000"/>
          <w:sz w:val="24"/>
          <w:szCs w:val="24"/>
          <w:highlight w:val="none"/>
        </w:rPr>
      </w:pPr>
      <w:r>
        <w:rPr>
          <w:rFonts w:ascii="宋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040"/>
        <w:rPr>
          <w:rFonts w:ascii="黑体" w:hAnsi="宋体" w:eastAsia="黑体"/>
          <w:bCs/>
          <w:color w:val="000000"/>
          <w:sz w:val="24"/>
          <w:highlight w:val="none"/>
        </w:rPr>
      </w:pPr>
      <w:r>
        <w:rPr>
          <w:rFonts w:ascii="黑体" w:hAnsi="宋体" w:eastAsia="黑体"/>
          <w:bCs/>
          <w:color w:val="000000"/>
          <w:sz w:val="24"/>
          <w:highlight w:val="none"/>
        </w:rPr>
      </w:r>
      <w:r/>
    </w:p>
    <w:p>
      <w:pPr>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040"/>
        <w:rPr>
          <w:rFonts w:ascii="黑体" w:hAnsi="宋体" w:eastAsia="黑体"/>
          <w:bCs/>
          <w:color w:val="000000"/>
          <w:sz w:val="24"/>
          <w:highlight w:val="none"/>
        </w:rPr>
      </w:pPr>
      <w:r>
        <w:rPr>
          <w:rFonts w:ascii="黑体" w:hAnsi="宋体" w:eastAsia="黑体"/>
          <w:bCs/>
          <w:color w:val="000000"/>
          <w:sz w:val="24"/>
          <w:highlight w:val="none"/>
        </w:rPr>
      </w:r>
      <w:r/>
    </w:p>
    <w:p>
      <w:pPr>
        <w:rPr>
          <w:highlight w:val="none"/>
        </w:rPr>
      </w:pPr>
      <w:r>
        <w:rPr>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供应商法定代表人身份证扫描件：</w:t>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8"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7" o:spid="_x0000_s7"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olor w:val="000000"/>
          <w:sz w:val="32"/>
          <w:szCs w:val="32"/>
          <w:highlight w:val="none"/>
        </w:rPr>
        <w:t xml:space="preserve"> </w:t>
      </w:r>
      <w:r>
        <w:rPr>
          <w:rFonts w:ascii="宋体" w:hAnsi="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9"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8" o:spid="_x0000_s8"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bCs/>
          <w:color w:val="000000"/>
          <w:sz w:val="24"/>
          <w:szCs w:val="24"/>
          <w:highlight w:val="none"/>
        </w:rPr>
        <w:t xml:space="preserve">       </w:t>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t xml:space="preserve">法定代表人授权</w:t>
      </w:r>
      <w:r>
        <w:rPr>
          <w:rFonts w:hint="eastAsia" w:ascii="宋体" w:hAnsi="宋体"/>
          <w:bCs/>
          <w:color w:val="000000"/>
          <w:sz w:val="24"/>
          <w:szCs w:val="24"/>
          <w:highlight w:val="none"/>
          <w:lang w:eastAsia="zh-CN"/>
        </w:rPr>
        <w:t xml:space="preserve">代表</w:t>
      </w:r>
      <w:r>
        <w:rPr>
          <w:rFonts w:ascii="宋体" w:hAnsi="宋体"/>
          <w:b/>
          <w:bCs/>
          <w:color w:val="000000"/>
          <w:sz w:val="24"/>
          <w:szCs w:val="24"/>
          <w:highlight w:val="none"/>
        </w:rPr>
        <w:t xml:space="preserve">人</w:t>
      </w:r>
      <w:r/>
    </w:p>
    <w:p>
      <w:pPr>
        <w:rPr>
          <w:rFonts w:ascii="宋体" w:hAnsi="宋体"/>
          <w:color w:val="000000"/>
          <w:sz w:val="32"/>
          <w:szCs w:val="32"/>
          <w:highlight w:val="none"/>
        </w:rPr>
      </w:pPr>
      <w:r>
        <w:rPr>
          <w:rFonts w:hint="eastAsia" w:ascii="宋体" w:hAnsi="宋体"/>
          <w:bCs/>
          <w:color w:val="000000"/>
          <w:sz w:val="24"/>
          <w:szCs w:val="24"/>
          <w:highlight w:val="none"/>
        </w:rPr>
        <w:t xml:space="preserve"> </w:t>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268"/>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69"/>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68"/>
        <w:ind w:firstLine="480"/>
        <w:rPr>
          <w:rFonts w:ascii="黑体" w:hAnsi="宋体" w:eastAsia="黑体"/>
          <w:bCs w:val="0"/>
          <w:color w:val="000000"/>
          <w:sz w:val="24"/>
          <w:szCs w:val="24"/>
          <w:highlight w:val="none"/>
        </w:rPr>
      </w:pPr>
      <w:r>
        <w:rPr>
          <w:rFonts w:hint="eastAsia" w:ascii="黑体" w:hAnsi="宋体" w:eastAsia="黑体"/>
          <w:bCs w:val="0"/>
          <w:color w:val="000000"/>
          <w:sz w:val="24"/>
          <w:szCs w:val="24"/>
          <w:highlight w:val="none"/>
        </w:rPr>
        <w:t xml:space="preserve">法定代表人授权代表身份证扫描件：（法定代表人亲自参与投标的除外）</w:t>
      </w:r>
      <w:r/>
    </w:p>
    <w:p>
      <w:pPr>
        <w:pStyle w:val="1269"/>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68"/>
        <w:rPr>
          <w:rFonts w:ascii="黑体" w:hAnsi="宋体" w:eastAsia="黑体"/>
          <w:bCs w:val="0"/>
          <w:color w:val="000000"/>
          <w:sz w:val="24"/>
          <w:szCs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75565</wp:posOffset>
                </wp:positionH>
                <wp:positionV relativeFrom="paragraph">
                  <wp:posOffset>85725</wp:posOffset>
                </wp:positionV>
                <wp:extent cx="2731770" cy="1584960"/>
                <wp:effectExtent l="6350" t="6350" r="6350" b="6350"/>
                <wp:wrapNone/>
                <wp:docPr id="10"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9" o:spid="_x0000_s9" o:spt="202" type="#_x0000_t202" style="position:absolute;z-index:251661312;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11"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10" o:spid="_x0000_s10" o:spt="202" type="#_x0000_t202" style="position:absolute;z-index:251662336;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1268"/>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68"/>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68"/>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68"/>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68"/>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68"/>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68"/>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68"/>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68"/>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68"/>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68"/>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69"/>
        <w:rPr>
          <w:color w:val="000000"/>
          <w:highlight w:val="none"/>
        </w:rPr>
      </w:pPr>
      <w:r>
        <w:rPr>
          <w:color w:val="000000"/>
          <w:highlight w:val="none"/>
        </w:rPr>
      </w:r>
      <w:r/>
    </w:p>
    <w:p>
      <w:pPr>
        <w:pStyle w:val="1268"/>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68"/>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68"/>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68"/>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68"/>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68"/>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68"/>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68"/>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69"/>
        <w:ind w:firstLine="0"/>
        <w:rPr>
          <w:rFonts w:ascii="黑体" w:hAnsi="宋体" w:eastAsia="黑体"/>
          <w:color w:val="000000"/>
          <w:sz w:val="24"/>
          <w:szCs w:val="24"/>
          <w:highlight w:val="none"/>
        </w:rPr>
      </w:pPr>
      <w:r>
        <w:rPr>
          <w:rFonts w:ascii="黑体" w:hAnsi="宋体" w:eastAsia="黑体"/>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（四）承诺书(格式)：</w:t>
      </w:r>
      <w:r/>
    </w:p>
    <w:p>
      <w:pPr>
        <w:spacing w:line="360" w:lineRule="auto"/>
        <w:rPr>
          <w:bCs/>
          <w:color w:val="000000"/>
          <w:sz w:val="28"/>
          <w:szCs w:val="28"/>
          <w:highlight w:val="none"/>
        </w:rPr>
        <w:outlineLvl w:val="0"/>
      </w:pPr>
      <w:r>
        <w:rPr>
          <w:bCs/>
          <w:color w:val="000000"/>
          <w:sz w:val="28"/>
          <w:szCs w:val="28"/>
          <w:highlight w:val="none"/>
        </w:rPr>
      </w:r>
      <w:r/>
    </w:p>
    <w:p>
      <w:pPr>
        <w:jc w:val="center"/>
        <w:spacing w:line="360" w:lineRule="auto"/>
        <w:rPr>
          <w:rFonts w:hAnsi="宋体"/>
          <w:b/>
          <w:bCs/>
          <w:color w:val="000000"/>
          <w:sz w:val="36"/>
          <w:szCs w:val="36"/>
          <w:highlight w:val="none"/>
        </w:rPr>
      </w:pPr>
      <w:r>
        <w:rPr>
          <w:rFonts w:hAnsi="宋体"/>
          <w:b/>
          <w:bCs/>
          <w:color w:val="000000"/>
          <w:sz w:val="36"/>
          <w:szCs w:val="36"/>
          <w:highlight w:val="none"/>
        </w:rPr>
        <w:t xml:space="preserve">承诺书</w:t>
      </w:r>
      <w:r/>
    </w:p>
    <w:p>
      <w:pPr>
        <w:pStyle w:val="1276"/>
        <w:ind w:left="1260"/>
        <w:spacing w:line="360" w:lineRule="auto"/>
        <w:rPr>
          <w:color w:val="000000"/>
          <w:highlight w:val="none"/>
        </w:rPr>
      </w:pPr>
      <w:r>
        <w:rPr>
          <w:color w:val="000000"/>
          <w:highlight w:val="none"/>
        </w:rPr>
      </w:r>
      <w:r/>
    </w:p>
    <w:p>
      <w:pPr>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spacing w:line="480" w:lineRule="auto"/>
        <w:rPr>
          <w:rFonts w:ascii="宋体"/>
          <w:color w:val="000000"/>
          <w:sz w:val="24"/>
          <w:szCs w:val="24"/>
          <w:highlight w:val="none"/>
        </w:rPr>
      </w:pP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供应商</w:t>
      </w:r>
      <w:r>
        <w:rPr>
          <w:rFonts w:hint="eastAsia" w:ascii="宋体" w:hAnsi="宋体"/>
          <w:color w:val="000000"/>
          <w:sz w:val="24"/>
          <w:szCs w:val="24"/>
          <w:highlight w:val="none"/>
        </w:rPr>
        <w:t xml:space="preserve">名称）在此承诺：</w:t>
      </w:r>
      <w:r/>
    </w:p>
    <w:p>
      <w:pPr>
        <w:ind w:firstLine="480"/>
        <w:spacing w:line="360" w:lineRule="auto"/>
        <w:rPr>
          <w:rFonts w:ascii="宋体"/>
          <w:color w:val="000000"/>
          <w:sz w:val="24"/>
          <w:szCs w:val="24"/>
          <w:highlight w:val="none"/>
        </w:rPr>
      </w:pPr>
      <w:r>
        <w:rPr>
          <w:rFonts w:ascii="宋体"/>
          <w:color w:val="000000"/>
          <w:sz w:val="24"/>
          <w:szCs w:val="24"/>
          <w:highlight w:val="none"/>
        </w:rPr>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1．本公司（单位）</w:t>
      </w:r>
      <w:r>
        <w:rPr>
          <w:rFonts w:hint="eastAsia" w:ascii="宋体" w:hAnsi="宋体" w:eastAsia="宋体" w:cs="宋体"/>
          <w:bCs/>
          <w:color w:val="000000"/>
          <w:sz w:val="24"/>
          <w:szCs w:val="24"/>
          <w:highlight w:val="none"/>
        </w:rPr>
        <w:t xml:space="preserve">对本项目（</w:t>
      </w:r>
      <w:r>
        <w:rPr>
          <w:rFonts w:hint="eastAsia" w:ascii="宋体" w:hAnsi="宋体" w:eastAsia="宋体" w:cs="宋体"/>
          <w:bCs/>
          <w:color w:val="000000"/>
          <w:sz w:val="24"/>
          <w:szCs w:val="24"/>
          <w:highlight w:val="none"/>
          <w:u w:val="single"/>
        </w:rPr>
        <w:t xml:space="preserve">项目编号 </w:t>
      </w:r>
      <w:r>
        <w:rPr>
          <w:rFonts w:hint="eastAsia" w:ascii="宋体" w:hAnsi="宋体" w:eastAsia="宋体" w:cs="宋体"/>
          <w:bCs/>
          <w:color w:val="000000"/>
          <w:sz w:val="24"/>
          <w:szCs w:val="24"/>
          <w:highlight w:val="none"/>
          <w:u w:val="single"/>
          <w:lang w:eastAsia="zh-CN"/>
        </w:rPr>
        <w:t xml:space="preserve">JSZC-320205-JZCG-G2026-0024</w:t>
      </w:r>
      <w:r>
        <w:rPr>
          <w:rFonts w:hint="eastAsia" w:ascii="宋体" w:hAnsi="宋体" w:eastAsia="宋体" w:cs="宋体"/>
          <w:bCs/>
          <w:color w:val="000000"/>
          <w:sz w:val="24"/>
          <w:szCs w:val="24"/>
          <w:highlight w:val="none"/>
        </w:rPr>
        <w:t xml:space="preserve">）所提供的货物符合招标文件要求；</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本公司（单位）</w:t>
      </w:r>
      <w:r>
        <w:rPr>
          <w:rFonts w:hint="eastAsia" w:ascii="宋体" w:hAnsi="宋体" w:eastAsia="宋体" w:cs="宋体"/>
          <w:bCs/>
          <w:color w:val="000000" w:themeColor="text1"/>
          <w:sz w:val="24"/>
          <w:szCs w:val="24"/>
          <w:highlight w:val="none"/>
          <w14:textFill>
            <w14:solidFill>
              <w14:schemeClr w14:val="tx1"/>
            </w14:solidFill>
          </w14:textFill>
        </w:rPr>
        <w:t xml:space="preserve">具备履行合同所必需的服务和专业技术能力；</w:t>
      </w:r>
      <w:r/>
    </w:p>
    <w:p>
      <w:pPr>
        <w:ind w:firstLine="480"/>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本公司未被“</w:t>
      </w:r>
      <w:r>
        <w:rPr>
          <w:rFonts w:hint="eastAsia" w:ascii="宋体" w:hAnsi="宋体" w:eastAsia="宋体" w:cs="宋体"/>
          <w:bCs/>
          <w:color w:val="000000" w:themeColor="text1"/>
          <w:sz w:val="24"/>
          <w:szCs w:val="24"/>
          <w:highlight w:val="none"/>
          <w14:textFill>
            <w14:solidFill>
              <w14:schemeClr w14:val="tx1"/>
            </w14:solidFill>
          </w14:textFill>
        </w:rPr>
        <w:t xml:space="preserve">信用中国</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网站</w:t>
      </w:r>
      <w:r>
        <w:rPr>
          <w:rFonts w:hint="eastAsia" w:ascii="宋体" w:hAnsi="宋体" w:eastAsia="宋体" w:cs="宋体"/>
          <w:color w:val="000000" w:themeColor="text1"/>
          <w:sz w:val="24"/>
          <w:szCs w:val="24"/>
          <w:highlight w:val="none"/>
          <w14:textFill>
            <w14:solidFill>
              <w14:schemeClr w14:val="tx1"/>
            </w14:solidFill>
          </w14:textFill>
        </w:rPr>
        <w:t xml:space="preserve">（</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）、中国政府采购网（www.ccgp.gov.cn）列入失信被执行人、重大税收违法案件当事人名单、政府采购严重违法失信行为记录名单。</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eastAsia="宋体" w:cs="宋体"/>
          <w:color w:val="000000" w:themeColor="text1"/>
          <w:sz w:val="24"/>
          <w:szCs w:val="24"/>
          <w:highlight w:val="none"/>
          <w14:textFill>
            <w14:solidFill>
              <w14:schemeClr w14:val="tx1"/>
            </w14:solidFill>
          </w14:textFill>
        </w:rPr>
        <w:t xml:space="preserve">（单位）</w:t>
      </w:r>
      <w:r>
        <w:rPr>
          <w:rFonts w:hint="eastAsia" w:ascii="宋体" w:hAnsi="宋体" w:eastAsia="宋体" w:cs="宋体"/>
          <w:bCs/>
          <w:color w:val="000000" w:themeColor="text1"/>
          <w:sz w:val="24"/>
          <w:szCs w:val="24"/>
          <w:highlight w:val="none"/>
          <w14:textFill>
            <w14:solidFill>
              <w14:schemeClr w14:val="tx1"/>
            </w14:solidFill>
          </w14:textFill>
        </w:rPr>
        <w:t xml:space="preserve">将承担一切法律责任。</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供应商（盖章）：</w:t>
      </w:r>
      <w:r/>
    </w:p>
    <w:p>
      <w:pPr>
        <w:ind w:firstLine="480"/>
        <w:spacing w:line="480" w:lineRule="auto"/>
        <w:rPr>
          <w:rFonts w:hint="eastAsia" w:ascii="宋体" w:hAnsi="宋体" w:eastAsia="宋体" w:cs="宋体"/>
          <w:color w:val="000000" w:themeColor="text1"/>
          <w:highlight w:val="none"/>
          <w14:textFill>
            <w14:solidFill>
              <w14:schemeClr w14:val="tx1"/>
            </w14:solidFill>
          </w14:textFill>
        </w:rPr>
        <w:sectPr>
          <w:headerReference w:type="default" r:id="rId12"/>
          <w:headerReference w:type="first" r:id="rId13"/>
          <w:footerReference w:type="default" r:id="rId19"/>
          <w:footerReference w:type="first" r:id="rId20"/>
          <w:footnotePr/>
          <w:endnotePr/>
          <w:type w:val="nextPage"/>
          <w:pgSz w:w="11906" w:h="16838" w:orient="portrait"/>
          <w:pgMar w:top="1417" w:right="1417" w:bottom="1417" w:left="1418" w:header="624" w:footer="907" w:gutter="0"/>
          <w:cols w:num="1" w:sep="0" w:space="0" w:equalWidth="1"/>
          <w:docGrid w:linePitch="360"/>
          <w:titlePg/>
        </w:sect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2"/>
        <w:rPr>
          <w:rFonts w:ascii="宋体" w:hAnsi="宋体" w:eastAsia="宋体" w:cs="宋体"/>
          <w:b/>
          <w:color w:val="000000"/>
          <w:sz w:val="28"/>
          <w:szCs w:val="28"/>
          <w:highlight w:val="none"/>
        </w:rPr>
        <w:outlineLvl w:val="0"/>
      </w:pPr>
      <w:r>
        <w:rPr>
          <w:rFonts w:hint="eastAsia" w:ascii="宋体" w:hAnsi="宋体" w:eastAsia="宋体" w:cs="宋体"/>
          <w:b/>
          <w:color w:val="000000"/>
          <w:sz w:val="24"/>
          <w:szCs w:val="24"/>
          <w:highlight w:val="none"/>
        </w:rPr>
        <w:t xml:space="preserve">（五）开标一览表（格式）：</w:t>
      </w:r>
      <w:r/>
    </w:p>
    <w:p>
      <w:pPr>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jc w:val="center"/>
        <w:rPr>
          <w:rFonts w:hint="eastAsia" w:ascii="宋体" w:hAnsi="宋体" w:eastAsia="宋体" w:cs="宋体"/>
          <w:bCs/>
          <w:color w:val="000000"/>
          <w:sz w:val="28"/>
          <w:szCs w:val="28"/>
          <w:highlight w:val="none"/>
        </w:rPr>
        <w:outlineLvl w:val="0"/>
      </w:pPr>
      <w:r>
        <w:rPr>
          <w:rFonts w:hint="eastAsia" w:ascii="宋体" w:hAnsi="宋体" w:eastAsia="宋体" w:cs="宋体"/>
          <w:b/>
          <w:color w:val="000000"/>
          <w:sz w:val="28"/>
          <w:szCs w:val="28"/>
          <w:highlight w:val="none"/>
        </w:rPr>
        <w:t xml:space="preserve">开标一览表</w:t>
      </w:r>
      <w:r>
        <w:rPr>
          <w:rFonts w:hint="eastAsia" w:ascii="宋体" w:hAnsi="宋体" w:eastAsia="宋体" w:cs="宋体"/>
          <w:bCs/>
          <w:color w:val="000000"/>
          <w:sz w:val="28"/>
          <w:szCs w:val="28"/>
          <w:highlight w:val="none"/>
        </w:rPr>
        <w:t xml:space="preserve"> </w:t>
      </w:r>
      <w:r/>
    </w:p>
    <w:p>
      <w:pPr>
        <w:pStyle w:val="1040"/>
        <w:rPr>
          <w:rFonts w:hint="eastAsia" w:ascii="宋体" w:hAnsi="宋体" w:eastAsia="宋体" w:cs="宋体"/>
          <w:highlight w:val="none"/>
        </w:rPr>
      </w:pPr>
      <w:r>
        <w:rPr>
          <w:rFonts w:hint="eastAsia" w:ascii="宋体" w:hAnsi="宋体" w:eastAsia="宋体" w:cs="宋体"/>
          <w:highlight w:val="none"/>
        </w:rPr>
      </w:r>
      <w:r/>
    </w:p>
    <w:p>
      <w:pPr>
        <w:jc w:val="center"/>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pStyle w:val="103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投标人全称：</w:t>
      </w:r>
      <w:r/>
    </w:p>
    <w:p>
      <w:pPr>
        <w:pStyle w:val="103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采购项目编号： </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分包号：</w:t>
      </w:r>
      <w:r/>
    </w:p>
    <w:tbl>
      <w:tblPr>
        <w:tblStyle w:val="1031"/>
        <w:tblW w:w="93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9"/>
        <w:gridCol w:w="5000"/>
      </w:tblGrid>
      <w:tr>
        <w:trPr>
          <w:jc w:val="center"/>
          <w:trHeight w:val="675"/>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投标货物名称</w:t>
            </w:r>
            <w:r/>
          </w:p>
        </w:tc>
        <w:tc>
          <w:tcPr>
            <w:tcW w:w="5000"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总价（小写）</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总价（大写）</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核心产品品牌</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pStyle w:val="103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ind w:firstLine="472"/>
        <w:spacing w:line="46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填写说明：</w:t>
      </w:r>
      <w:r/>
    </w:p>
    <w:p>
      <w:pPr>
        <w:numPr>
          <w:ilvl w:val="0"/>
          <w:numId w:val="5"/>
        </w:numPr>
        <w:ind w:firstLine="470"/>
        <w:spacing w:line="46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评标时一律按苏采云系统自带的开标一览表中内容为准，开标一览表中必须盖章。</w:t>
      </w:r>
      <w:r/>
    </w:p>
    <w:p>
      <w:pPr>
        <w:pStyle w:val="104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before="5" w:line="360" w:lineRule="auto"/>
        <w:rPr>
          <w:rFonts w:hint="eastAsia" w:ascii="宋体" w:hAnsi="宋体" w:eastAsia="宋体" w:cs="宋体"/>
          <w:bCs/>
          <w:color w:val="000000" w:themeColor="text1"/>
          <w:sz w:val="24"/>
          <w:szCs w:val="24"/>
          <w:highlight w:val="none"/>
          <w14:textFill>
            <w14:solidFill>
              <w14:schemeClr w14:val="tx1"/>
            </w14:solidFill>
          </w14:textFill>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14:textFill>
            <w14:solidFill>
              <w14:schemeClr w14:val="tx1"/>
            </w14:solidFill>
          </w14:textFill>
        </w:rPr>
        <w:t xml:space="preserve">日期：</w:t>
      </w:r>
      <w:r/>
    </w:p>
    <w:p>
      <w:pPr>
        <w:ind w:left="720" w:hanging="720"/>
        <w:spacing w:line="400" w:lineRule="exact"/>
        <w:rPr>
          <w:rFonts w:ascii="黑体" w:eastAsia="黑体"/>
          <w:bCs/>
          <w:color w:val="000000"/>
          <w:sz w:val="24"/>
          <w:szCs w:val="24"/>
          <w:highlight w:val="none"/>
        </w:rPr>
      </w:pPr>
      <w:r>
        <w:rPr>
          <w:rFonts w:ascii="黑体" w:eastAsia="黑体"/>
          <w:bCs/>
          <w:color w:val="000000"/>
          <w:sz w:val="24"/>
          <w:szCs w:val="24"/>
          <w:highlight w:val="none"/>
        </w:rPr>
      </w:r>
      <w:r/>
    </w:p>
    <w:p>
      <w:pPr>
        <w:numPr>
          <w:ilvl w:val="0"/>
          <w:numId w:val="9"/>
        </w:numPr>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报价明细表（格式）：</w:t>
      </w:r>
      <w:r/>
    </w:p>
    <w:p>
      <w:pPr>
        <w:pStyle w:val="1040"/>
        <w:ind w:left="0"/>
        <w:rPr>
          <w:highlight w:val="none"/>
        </w:rPr>
      </w:pPr>
      <w:r>
        <w:rPr>
          <w:highlight w:val="none"/>
        </w:rPr>
      </w:r>
      <w:r/>
    </w:p>
    <w:p>
      <w:pPr>
        <w:pStyle w:val="1040"/>
        <w:jc w:val="center"/>
        <w:rPr>
          <w:rFonts w:ascii="宋体" w:hAnsi="宋体" w:eastAsia="宋体" w:cs="宋体"/>
          <w:b/>
          <w:color w:val="000000"/>
          <w:sz w:val="36"/>
          <w:highlight w:val="none"/>
        </w:rPr>
      </w:pPr>
      <w:r>
        <w:rPr>
          <w:rFonts w:hint="eastAsia" w:ascii="宋体" w:hAnsi="宋体" w:eastAsia="宋体" w:cs="宋体"/>
          <w:b/>
          <w:color w:val="000000"/>
          <w:sz w:val="36"/>
          <w:highlight w:val="none"/>
        </w:rPr>
        <w:t xml:space="preserve">报价明细表</w:t>
      </w:r>
      <w:r/>
    </w:p>
    <w:p>
      <w:pPr>
        <w:rPr>
          <w:highlight w:val="none"/>
        </w:rPr>
      </w:pPr>
      <w:r>
        <w:rPr>
          <w:highlight w:val="none"/>
        </w:rPr>
      </w:r>
      <w:r/>
    </w:p>
    <w:p>
      <w:pPr>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供应商名称(盖章)                        政府采购编号：</w:t>
      </w:r>
      <w:r/>
    </w:p>
    <w:tbl>
      <w:tblPr>
        <w:tblStyle w:val="1031"/>
        <w:tblpPr w:horzAnchor="page" w:tblpX="411" w:vertAnchor="text" w:tblpY="345" w:leftFromText="180" w:topFromText="0" w:rightFromText="180" w:bottomFromText="0"/>
        <w:tblW w:w="1123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7"/>
        <w:gridCol w:w="862"/>
        <w:gridCol w:w="929"/>
        <w:gridCol w:w="739"/>
        <w:gridCol w:w="168"/>
        <w:gridCol w:w="930"/>
        <w:gridCol w:w="2165"/>
        <w:gridCol w:w="611"/>
        <w:gridCol w:w="591"/>
        <w:gridCol w:w="714"/>
        <w:gridCol w:w="931"/>
        <w:gridCol w:w="1142"/>
        <w:gridCol w:w="823"/>
      </w:tblGrid>
      <w:tr>
        <w:trPr>
          <w:cantSplit/>
          <w:trHeight w:val="828"/>
        </w:trPr>
        <w:tc>
          <w:tcPr>
            <w:tcMar>
              <w:left w:w="15" w:type="dxa"/>
              <w:top w:w="15" w:type="dxa"/>
              <w:right w:w="15" w:type="dxa"/>
              <w:bottom w:w="0" w:type="dxa"/>
            </w:tcMar>
            <w:tcW w:w="627"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序号</w:t>
            </w:r>
            <w:r/>
          </w:p>
        </w:tc>
        <w:tc>
          <w:tcPr>
            <w:tcMar>
              <w:left w:w="15" w:type="dxa"/>
              <w:top w:w="15" w:type="dxa"/>
              <w:right w:w="15" w:type="dxa"/>
              <w:bottom w:w="0" w:type="dxa"/>
            </w:tcMar>
            <w:tcW w:w="862"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名称</w:t>
            </w:r>
            <w:r/>
          </w:p>
        </w:tc>
        <w:tc>
          <w:tcPr>
            <w:tcMar>
              <w:left w:w="15" w:type="dxa"/>
              <w:top w:w="15" w:type="dxa"/>
              <w:right w:w="15" w:type="dxa"/>
              <w:bottom w:w="0" w:type="dxa"/>
            </w:tcMar>
            <w:tcW w:w="929"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品牌</w:t>
            </w:r>
            <w:r/>
          </w:p>
        </w:tc>
        <w:tc>
          <w:tcPr>
            <w:gridSpan w:val="2"/>
            <w:tcMar>
              <w:left w:w="15" w:type="dxa"/>
              <w:top w:w="15" w:type="dxa"/>
              <w:right w:w="15" w:type="dxa"/>
              <w:bottom w:w="0" w:type="dxa"/>
            </w:tcMar>
            <w:tcW w:w="907" w:type="dxa"/>
            <w:vAlign w:val="center"/>
            <w:textDirection w:val="lrTb"/>
            <w:noWrap w:val="false"/>
          </w:tcPr>
          <w:p>
            <w:pPr>
              <w:jc w:val="center"/>
              <w:spacing w:before="5"/>
              <w:rPr>
                <w:rFonts w:hint="eastAsia" w:ascii="宋体" w:hAnsi="宋体" w:eastAsia="宋体" w:cs="宋体"/>
                <w:b w:val="0"/>
                <w:bCs w:val="0"/>
                <w:color w:val="000000"/>
                <w:sz w:val="20"/>
                <w:szCs w:val="24"/>
                <w:highlight w:val="none"/>
                <w:lang w:eastAsia="zh-CN"/>
              </w:rPr>
            </w:pPr>
            <w:r>
              <w:rPr>
                <w:rFonts w:hint="eastAsia" w:ascii="宋体" w:hAnsi="宋体" w:eastAsia="宋体" w:cs="宋体"/>
                <w:b w:val="0"/>
                <w:bCs w:val="0"/>
                <w:color w:val="000000"/>
                <w:sz w:val="20"/>
                <w:szCs w:val="24"/>
                <w:highlight w:val="none"/>
              </w:rPr>
              <w:t xml:space="preserve">型号</w:t>
            </w:r>
            <w:r/>
          </w:p>
        </w:tc>
        <w:tc>
          <w:tcPr>
            <w:tcMar>
              <w:left w:w="15" w:type="dxa"/>
              <w:top w:w="15" w:type="dxa"/>
              <w:right w:w="15" w:type="dxa"/>
              <w:bottom w:w="0" w:type="dxa"/>
            </w:tcMar>
            <w:tcW w:w="930" w:type="dxa"/>
            <w:vAlign w:val="center"/>
            <w:textDirection w:val="lrTb"/>
            <w:noWrap w:val="false"/>
          </w:tcPr>
          <w:p>
            <w:pPr>
              <w:jc w:val="center"/>
              <w:spacing w:before="5"/>
              <w:rPr>
                <w:rFonts w:hint="eastAsia" w:ascii="宋体" w:hAnsi="宋体" w:eastAsia="宋体" w:cs="宋体"/>
                <w:b w:val="0"/>
                <w:bCs w:val="0"/>
                <w:color w:val="000000"/>
                <w:sz w:val="20"/>
                <w:szCs w:val="24"/>
                <w:highlight w:val="none"/>
                <w:lang w:val="en-US" w:eastAsia="zh-CN"/>
              </w:rPr>
            </w:pPr>
            <w:r>
              <w:rPr>
                <w:rFonts w:hint="eastAsia" w:ascii="宋体" w:hAnsi="宋体" w:eastAsia="宋体" w:cs="宋体"/>
                <w:b w:val="0"/>
                <w:bCs w:val="0"/>
                <w:color w:val="auto"/>
                <w:sz w:val="20"/>
                <w:szCs w:val="24"/>
                <w:highlight w:val="none"/>
                <w:lang w:val="en-US" w:eastAsia="zh-CN"/>
              </w:rPr>
              <w:t xml:space="preserve">规格</w:t>
            </w:r>
            <w:r/>
          </w:p>
        </w:tc>
        <w:tc>
          <w:tcPr>
            <w:tcMar>
              <w:left w:w="15" w:type="dxa"/>
              <w:top w:w="15" w:type="dxa"/>
              <w:right w:w="15" w:type="dxa"/>
              <w:bottom w:w="0" w:type="dxa"/>
            </w:tcMar>
            <w:tcW w:w="2165" w:type="dxa"/>
            <w:vAlign w:val="center"/>
            <w:textDirection w:val="lrTb"/>
            <w:noWrap w:val="false"/>
          </w:tcPr>
          <w:p>
            <w:pPr>
              <w:jc w:val="center"/>
              <w:spacing w:before="5"/>
              <w:rPr>
                <w:rFonts w:ascii="宋体" w:hAnsi="宋体" w:eastAsia="宋体" w:cs="宋体"/>
                <w:b w:val="0"/>
                <w:bCs w:val="0"/>
                <w:color w:val="000000"/>
                <w:sz w:val="20"/>
                <w:szCs w:val="24"/>
                <w:highlight w:val="none"/>
              </w:rPr>
            </w:pPr>
            <w:r>
              <w:rPr>
                <w:rFonts w:hint="eastAsia" w:ascii="宋体" w:hAnsi="宋体" w:eastAsia="宋体" w:cs="宋体"/>
                <w:b w:val="0"/>
                <w:bCs w:val="0"/>
                <w:i w:val="0"/>
                <w:iCs w:val="0"/>
                <w:color w:val="000000"/>
                <w:sz w:val="20"/>
                <w:szCs w:val="20"/>
                <w:highlight w:val="none"/>
                <w:u w:val="none"/>
                <w:lang w:val="en-US" w:eastAsia="zh-CN" w:bidi="ar"/>
              </w:rPr>
              <w:t xml:space="preserve">技术参数</w:t>
            </w:r>
            <w:r/>
          </w:p>
        </w:tc>
        <w:tc>
          <w:tcPr>
            <w:tcMar>
              <w:left w:w="15" w:type="dxa"/>
              <w:top w:w="15" w:type="dxa"/>
              <w:right w:w="15" w:type="dxa"/>
              <w:bottom w:w="0" w:type="dxa"/>
            </w:tcMar>
            <w:tcW w:w="611"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数量</w:t>
            </w:r>
            <w:r/>
          </w:p>
        </w:tc>
        <w:tc>
          <w:tcPr>
            <w:tcMar>
              <w:left w:w="15" w:type="dxa"/>
              <w:top w:w="15" w:type="dxa"/>
              <w:right w:w="15" w:type="dxa"/>
              <w:bottom w:w="0" w:type="dxa"/>
            </w:tcMar>
            <w:tcW w:w="591"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单位</w:t>
            </w:r>
            <w:r/>
          </w:p>
        </w:tc>
        <w:tc>
          <w:tcPr>
            <w:tcMar>
              <w:left w:w="15" w:type="dxa"/>
              <w:top w:w="15" w:type="dxa"/>
              <w:right w:w="15" w:type="dxa"/>
              <w:bottom w:w="0" w:type="dxa"/>
            </w:tcMar>
            <w:tcW w:w="714"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产地</w:t>
            </w:r>
            <w:r/>
          </w:p>
        </w:tc>
        <w:tc>
          <w:tcPr>
            <w:tcW w:w="931"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免费质保期</w:t>
            </w:r>
            <w:r/>
          </w:p>
        </w:tc>
        <w:tc>
          <w:tcPr>
            <w:tcW w:w="1142"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单报价（元）</w:t>
            </w:r>
            <w:r/>
          </w:p>
        </w:tc>
        <w:tc>
          <w:tcPr>
            <w:tcW w:w="823"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分项总报价（元）</w:t>
            </w:r>
            <w:r/>
          </w:p>
        </w:tc>
      </w:tr>
      <w:tr>
        <w:trPr>
          <w:cantSplit/>
          <w:trHeight w:val="702"/>
        </w:trPr>
        <w:tc>
          <w:tcPr>
            <w:tcMar>
              <w:left w:w="15" w:type="dxa"/>
              <w:top w:w="15" w:type="dxa"/>
              <w:right w:w="15" w:type="dxa"/>
              <w:bottom w:w="0" w:type="dxa"/>
            </w:tcMar>
            <w:tcW w:w="627" w:type="dxa"/>
            <w:vAlign w:val="center"/>
            <w:textDirection w:val="lrTb"/>
            <w:noWrap w:val="false"/>
          </w:tcPr>
          <w:p>
            <w:pPr>
              <w:pStyle w:val="1288"/>
              <w:spacing w:before="5"/>
              <w:tabs>
                <w:tab w:val="clear" w:pos="4153" w:leader="none"/>
                <w:tab w:val="clear" w:pos="8306" w:leader="none"/>
              </w:tabs>
              <w:rPr>
                <w:rFonts w:ascii="宋体" w:hAnsi="宋体" w:eastAsia="宋体" w:cs="宋体"/>
                <w:color w:val="000000"/>
                <w:highlight w:val="none"/>
              </w:rPr>
              <w:pBdr>
                <w:bottom w:val="none" w:color="000000" w:sz="0" w:space="0"/>
              </w:pBdr>
            </w:pPr>
            <w:r>
              <w:rPr>
                <w:rFonts w:ascii="宋体" w:hAnsi="宋体" w:eastAsia="宋体" w:cs="宋体"/>
                <w:color w:val="000000"/>
                <w:highlight w:val="none"/>
              </w:rPr>
            </w:r>
            <w:r/>
          </w:p>
        </w:tc>
        <w:tc>
          <w:tcPr>
            <w:tcMar>
              <w:left w:w="15" w:type="dxa"/>
              <w:top w:w="15" w:type="dxa"/>
              <w:right w:w="15" w:type="dxa"/>
              <w:bottom w:w="0" w:type="dxa"/>
            </w:tcMar>
            <w:tcW w:w="862" w:type="dxa"/>
            <w:vAlign w:val="center"/>
            <w:textDirection w:val="lrTb"/>
            <w:noWrap w:val="false"/>
          </w:tcPr>
          <w:p>
            <w:pPr>
              <w:pStyle w:val="1288"/>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29" w:type="dxa"/>
            <w:vAlign w:val="center"/>
            <w:textDirection w:val="lrTb"/>
            <w:noWrap w:val="false"/>
          </w:tcPr>
          <w:p>
            <w:pPr>
              <w:pStyle w:val="1288"/>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gridSpan w:val="2"/>
            <w:tcMar>
              <w:left w:w="15" w:type="dxa"/>
              <w:top w:w="15" w:type="dxa"/>
              <w:right w:w="15" w:type="dxa"/>
              <w:bottom w:w="0" w:type="dxa"/>
            </w:tcMar>
            <w:tcW w:w="907" w:type="dxa"/>
            <w:textDirection w:val="lrTb"/>
            <w:noWrap w:val="false"/>
          </w:tcPr>
          <w:p>
            <w:pPr>
              <w:pStyle w:val="1288"/>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30" w:type="dxa"/>
            <w:textDirection w:val="lrTb"/>
            <w:noWrap w:val="false"/>
          </w:tcPr>
          <w:p>
            <w:pPr>
              <w:pStyle w:val="1288"/>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2165" w:type="dxa"/>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W w:w="931"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W w:w="1142"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W w:w="823"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cantSplit/>
          <w:trHeight w:val="702"/>
        </w:trPr>
        <w:tc>
          <w:tcPr>
            <w:tcMar>
              <w:left w:w="15" w:type="dxa"/>
              <w:top w:w="15" w:type="dxa"/>
              <w:right w:w="15" w:type="dxa"/>
              <w:bottom w:w="0" w:type="dxa"/>
            </w:tcMar>
            <w:tcW w:w="627" w:type="dxa"/>
            <w:vAlign w:val="center"/>
            <w:textDirection w:val="lrTb"/>
            <w:noWrap w:val="false"/>
          </w:tcPr>
          <w:p>
            <w:pPr>
              <w:pStyle w:val="1288"/>
              <w:spacing w:before="5"/>
              <w:tabs>
                <w:tab w:val="clear" w:pos="4153" w:leader="none"/>
                <w:tab w:val="clear" w:pos="8306" w:leader="none"/>
              </w:tabs>
              <w:rPr>
                <w:rFonts w:ascii="宋体" w:hAnsi="宋体" w:eastAsia="宋体" w:cs="宋体"/>
                <w:color w:val="000000"/>
                <w:highlight w:val="none"/>
              </w:rPr>
              <w:pBdr>
                <w:bottom w:val="none" w:color="000000" w:sz="0" w:space="0"/>
              </w:pBdr>
            </w:pPr>
            <w:r>
              <w:rPr>
                <w:rFonts w:ascii="宋体" w:hAnsi="宋体" w:eastAsia="宋体" w:cs="宋体"/>
                <w:color w:val="000000"/>
                <w:highlight w:val="none"/>
              </w:rPr>
            </w:r>
            <w:r/>
          </w:p>
        </w:tc>
        <w:tc>
          <w:tcPr>
            <w:tcMar>
              <w:left w:w="15" w:type="dxa"/>
              <w:top w:w="15" w:type="dxa"/>
              <w:right w:w="15" w:type="dxa"/>
              <w:bottom w:w="0" w:type="dxa"/>
            </w:tcMar>
            <w:tcW w:w="862" w:type="dxa"/>
            <w:vAlign w:val="center"/>
            <w:textDirection w:val="lrTb"/>
            <w:noWrap w:val="false"/>
          </w:tcPr>
          <w:p>
            <w:pPr>
              <w:pStyle w:val="1288"/>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29" w:type="dxa"/>
            <w:vAlign w:val="center"/>
            <w:textDirection w:val="lrTb"/>
            <w:noWrap w:val="false"/>
          </w:tcPr>
          <w:p>
            <w:pPr>
              <w:pStyle w:val="1288"/>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gridSpan w:val="2"/>
            <w:tcMar>
              <w:left w:w="15" w:type="dxa"/>
              <w:top w:w="15" w:type="dxa"/>
              <w:right w:w="15" w:type="dxa"/>
              <w:bottom w:w="0" w:type="dxa"/>
            </w:tcMar>
            <w:tcW w:w="907" w:type="dxa"/>
            <w:textDirection w:val="lrTb"/>
            <w:noWrap w:val="false"/>
          </w:tcPr>
          <w:p>
            <w:pPr>
              <w:pStyle w:val="1288"/>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30" w:type="dxa"/>
            <w:textDirection w:val="lrTb"/>
            <w:noWrap w:val="false"/>
          </w:tcPr>
          <w:p>
            <w:pPr>
              <w:pStyle w:val="1288"/>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2165" w:type="dxa"/>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931"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1142"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W w:w="823"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cantSplit/>
          <w:trHeight w:val="658"/>
        </w:trPr>
        <w:tc>
          <w:tcPr>
            <w:tcMar>
              <w:left w:w="15" w:type="dxa"/>
              <w:top w:w="15" w:type="dxa"/>
              <w:right w:w="15" w:type="dxa"/>
              <w:bottom w:w="0" w:type="dxa"/>
            </w:tcMar>
            <w:tcW w:w="627" w:type="dxa"/>
            <w:vAlign w:val="center"/>
            <w:textDirection w:val="lrTb"/>
            <w:noWrap w:val="false"/>
          </w:tcPr>
          <w:p>
            <w:pPr>
              <w:jc w:val="center"/>
              <w:rPr>
                <w:rFonts w:ascii="宋体" w:hAnsi="宋体" w:eastAsia="宋体" w:cs="宋体"/>
                <w:color w:val="000000"/>
                <w:sz w:val="18"/>
                <w:highlight w:val="none"/>
              </w:rPr>
            </w:pPr>
            <w:r>
              <w:rPr>
                <w:rFonts w:ascii="宋体" w:hAnsi="宋体" w:eastAsia="宋体" w:cs="宋体"/>
                <w:color w:val="000000"/>
                <w:sz w:val="18"/>
                <w:highlight w:val="none"/>
              </w:rPr>
            </w:r>
            <w:r/>
          </w:p>
        </w:tc>
        <w:tc>
          <w:tcPr>
            <w:tcMar>
              <w:left w:w="15" w:type="dxa"/>
              <w:top w:w="15" w:type="dxa"/>
              <w:right w:w="15" w:type="dxa"/>
              <w:bottom w:w="0" w:type="dxa"/>
            </w:tcMar>
            <w:tcW w:w="862" w:type="dxa"/>
            <w:vAlign w:val="center"/>
            <w:textDirection w:val="lrTb"/>
            <w:noWrap w:val="false"/>
          </w:tcPr>
          <w:p>
            <w:pPr>
              <w:jc w:val="center"/>
              <w:rPr>
                <w:rFonts w:ascii="宋体" w:hAnsi="宋体" w:eastAsia="宋体" w:cs="宋体"/>
                <w:color w:val="000000"/>
                <w:highlight w:val="none"/>
              </w:rPr>
            </w:pPr>
            <w:r>
              <w:rPr>
                <w:rFonts w:ascii="宋体" w:hAnsi="宋体" w:eastAsia="宋体" w:cs="宋体"/>
                <w:color w:val="000000"/>
                <w:highlight w:val="none"/>
              </w:rPr>
            </w:r>
            <w:r/>
          </w:p>
        </w:tc>
        <w:tc>
          <w:tcPr>
            <w:tcMar>
              <w:left w:w="15" w:type="dxa"/>
              <w:top w:w="15" w:type="dxa"/>
              <w:right w:w="15" w:type="dxa"/>
              <w:bottom w:w="0" w:type="dxa"/>
            </w:tcMar>
            <w:tcW w:w="929" w:type="dxa"/>
            <w:vAlign w:val="center"/>
            <w:textDirection w:val="lrTb"/>
            <w:noWrap w:val="false"/>
          </w:tcPr>
          <w:p>
            <w:pPr>
              <w:pStyle w:val="1288"/>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gridSpan w:val="2"/>
            <w:tcMar>
              <w:left w:w="15" w:type="dxa"/>
              <w:top w:w="15" w:type="dxa"/>
              <w:right w:w="15" w:type="dxa"/>
              <w:bottom w:w="0" w:type="dxa"/>
            </w:tcMar>
            <w:tcW w:w="907" w:type="dxa"/>
            <w:vAlign w:val="center"/>
            <w:textDirection w:val="lrTb"/>
            <w:noWrap w:val="false"/>
          </w:tcPr>
          <w:p>
            <w:pPr>
              <w:pStyle w:val="1288"/>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30" w:type="dxa"/>
            <w:vAlign w:val="center"/>
            <w:textDirection w:val="lrTb"/>
            <w:noWrap w:val="false"/>
          </w:tcPr>
          <w:p>
            <w:pPr>
              <w:pStyle w:val="1288"/>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2165"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931"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1142"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W w:w="823"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cantSplit/>
          <w:trHeight w:val="720"/>
        </w:trPr>
        <w:tc>
          <w:tcPr>
            <w:gridSpan w:val="4"/>
            <w:tcMar>
              <w:left w:w="15" w:type="dxa"/>
              <w:top w:w="15" w:type="dxa"/>
              <w:right w:w="15" w:type="dxa"/>
              <w:bottom w:w="0" w:type="dxa"/>
            </w:tcMar>
            <w:tcW w:w="3157" w:type="dxa"/>
            <w:vAlign w:val="center"/>
            <w:textDirection w:val="lrTb"/>
            <w:noWrap w:val="false"/>
          </w:tcPr>
          <w:p>
            <w:pPr>
              <w:jc w:val="center"/>
              <w:rPr>
                <w:rFonts w:ascii="宋体" w:hAnsi="宋体" w:eastAsia="宋体" w:cs="宋体"/>
                <w:bCs/>
                <w:color w:val="000000"/>
                <w:sz w:val="24"/>
                <w:szCs w:val="24"/>
                <w:highlight w:val="none"/>
              </w:rPr>
            </w:pPr>
            <w:r>
              <w:rPr>
                <w:rFonts w:hint="eastAsia" w:ascii="宋体" w:hAnsi="宋体" w:eastAsia="宋体" w:cs="宋体"/>
                <w:b/>
                <w:bCs/>
                <w:color w:val="000000"/>
                <w:sz w:val="24"/>
                <w:highlight w:val="none"/>
              </w:rPr>
              <w:t xml:space="preserve">合计（元）</w:t>
            </w:r>
            <w:r/>
          </w:p>
        </w:tc>
        <w:tc>
          <w:tcPr>
            <w:gridSpan w:val="9"/>
            <w:tcMar>
              <w:left w:w="15" w:type="dxa"/>
              <w:top w:w="15" w:type="dxa"/>
              <w:right w:w="15" w:type="dxa"/>
              <w:bottom w:w="0" w:type="dxa"/>
            </w:tcMar>
            <w:tcW w:w="8075" w:type="dxa"/>
            <w:vAlign w:val="center"/>
            <w:textDirection w:val="lrTb"/>
            <w:noWrap w:val="false"/>
          </w:tcPr>
          <w:p>
            <w:pPr>
              <w:jc w:val="center"/>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r>
      <w:tr>
        <w:trPr>
          <w:cantSplit/>
          <w:trHeight w:val="720"/>
        </w:trPr>
        <w:tc>
          <w:tcPr>
            <w:gridSpan w:val="4"/>
            <w:tcMar>
              <w:left w:w="15" w:type="dxa"/>
              <w:top w:w="15" w:type="dxa"/>
              <w:right w:w="15" w:type="dxa"/>
              <w:bottom w:w="0" w:type="dxa"/>
            </w:tcMar>
            <w:tcW w:w="3157" w:type="dxa"/>
            <w:vAlign w:val="center"/>
            <w:textDirection w:val="lrTb"/>
            <w:noWrap w:val="false"/>
          </w:tcPr>
          <w:p>
            <w:pPr>
              <w:jc w:val="center"/>
              <w:rPr>
                <w:rFonts w:ascii="宋体" w:hAnsi="宋体" w:eastAsia="宋体" w:cs="宋体"/>
                <w:bCs/>
                <w:color w:val="000000"/>
                <w:sz w:val="24"/>
                <w:szCs w:val="24"/>
                <w:highlight w:val="none"/>
              </w:rPr>
            </w:pPr>
            <w:r>
              <w:rPr>
                <w:rFonts w:hint="eastAsia" w:ascii="宋体" w:hAnsi="宋体" w:eastAsia="宋体" w:cs="宋体"/>
                <w:b/>
                <w:bCs/>
                <w:color w:val="000000"/>
                <w:sz w:val="24"/>
                <w:highlight w:val="none"/>
              </w:rPr>
              <w:t xml:space="preserve">完工期</w:t>
            </w:r>
            <w:r/>
          </w:p>
        </w:tc>
        <w:tc>
          <w:tcPr>
            <w:gridSpan w:val="9"/>
            <w:tcMar>
              <w:left w:w="15" w:type="dxa"/>
              <w:top w:w="15" w:type="dxa"/>
              <w:right w:w="15" w:type="dxa"/>
              <w:bottom w:w="0" w:type="dxa"/>
            </w:tcMar>
            <w:tcW w:w="8075" w:type="dxa"/>
            <w:vAlign w:val="center"/>
            <w:textDirection w:val="lrTb"/>
            <w:noWrap w:val="false"/>
          </w:tcPr>
          <w:p>
            <w:pPr>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合同签订生效之日起</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个日历日内交货并安装调试完毕</w:t>
            </w:r>
            <w:r/>
          </w:p>
        </w:tc>
      </w:tr>
      <w:tr>
        <w:trPr>
          <w:cantSplit/>
          <w:trHeight w:val="785"/>
        </w:trPr>
        <w:tc>
          <w:tcPr>
            <w:gridSpan w:val="4"/>
            <w:tcMar>
              <w:left w:w="15" w:type="dxa"/>
              <w:top w:w="15" w:type="dxa"/>
              <w:right w:w="15" w:type="dxa"/>
              <w:bottom w:w="0" w:type="dxa"/>
            </w:tcMar>
            <w:tcW w:w="3157" w:type="dxa"/>
            <w:vAlign w:val="center"/>
            <w:textDirection w:val="lrTb"/>
            <w:noWrap w:val="false"/>
          </w:tcPr>
          <w:p>
            <w:pPr>
              <w:jc w:val="center"/>
              <w:rPr>
                <w:rFonts w:ascii="宋体" w:hAnsi="宋体" w:eastAsia="宋体" w:cs="宋体"/>
                <w:color w:val="000000"/>
                <w:sz w:val="24"/>
                <w:szCs w:val="28"/>
                <w:highlight w:val="none"/>
              </w:rPr>
            </w:pPr>
            <w:r>
              <w:rPr>
                <w:rFonts w:hint="eastAsia" w:ascii="宋体" w:hAnsi="宋体" w:eastAsia="宋体" w:cs="宋体"/>
                <w:b/>
                <w:bCs/>
                <w:color w:val="000000"/>
                <w:sz w:val="24"/>
                <w:highlight w:val="none"/>
              </w:rPr>
              <w:t xml:space="preserve">项目整体免费质保期</w:t>
            </w:r>
            <w:r/>
          </w:p>
        </w:tc>
        <w:tc>
          <w:tcPr>
            <w:gridSpan w:val="9"/>
            <w:tcMar>
              <w:left w:w="15" w:type="dxa"/>
              <w:top w:w="15" w:type="dxa"/>
              <w:right w:w="15" w:type="dxa"/>
              <w:bottom w:w="0" w:type="dxa"/>
            </w:tcMar>
            <w:tcW w:w="8075" w:type="dxa"/>
            <w:vAlign w:val="center"/>
            <w:textDirection w:val="lrTb"/>
            <w:noWrap w:val="false"/>
          </w:tcPr>
          <w:p>
            <w:pPr>
              <w:jc w:val="center"/>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项目经最终验收合格之日起____年</w:t>
            </w:r>
            <w:r/>
          </w:p>
        </w:tc>
      </w:tr>
      <w:tr>
        <w:trPr>
          <w:cantSplit/>
          <w:trHeight w:val="1350"/>
        </w:trPr>
        <w:tc>
          <w:tcPr>
            <w:gridSpan w:val="13"/>
            <w:tcMar>
              <w:left w:w="15" w:type="dxa"/>
              <w:top w:w="15" w:type="dxa"/>
              <w:right w:w="15" w:type="dxa"/>
              <w:bottom w:w="0" w:type="dxa"/>
            </w:tcMar>
            <w:tcW w:w="11232" w:type="dxa"/>
            <w:vAlign w:val="center"/>
            <w:textDirection w:val="lrTb"/>
            <w:noWrap w:val="false"/>
          </w:tcPr>
          <w:p>
            <w:pPr>
              <w:jc w:val="left"/>
              <w:spacing w:line="288" w:lineRule="auto"/>
              <w:rPr>
                <w:rFonts w:hint="eastAsia" w:ascii="楷体" w:hAnsi="楷体" w:eastAsia="楷体"/>
                <w:bCs/>
                <w:color w:val="000000" w:themeColor="text1"/>
                <w:sz w:val="28"/>
                <w:szCs w:val="28"/>
                <w:highlight w:val="none"/>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 xml:space="preserve">投标人承诺：</w:t>
            </w:r>
            <w:r/>
          </w:p>
          <w:p>
            <w:pPr>
              <w:jc w:val="left"/>
              <w:rPr>
                <w:rFonts w:hint="eastAsia" w:ascii="楷体" w:hAnsi="楷体" w:eastAsia="楷体"/>
                <w:bCs/>
                <w:color w:val="000000" w:themeColor="text1"/>
                <w:sz w:val="28"/>
                <w:szCs w:val="28"/>
                <w:highlight w:val="none"/>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 xml:space="preserve">本采购项目或采购包中提供的符合本国产品标准的产品</w:t>
            </w: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占提供的全部产品</w:t>
            </w:r>
            <w:r/>
          </w:p>
          <w:p>
            <w:pPr>
              <w:jc w:val="left"/>
              <w:rPr>
                <w:rFonts w:hint="eastAsia" w:ascii="宋体" w:hAnsi="宋体" w:eastAsia="宋体" w:cs="宋体"/>
                <w:color w:val="000000"/>
                <w:sz w:val="24"/>
                <w:szCs w:val="28"/>
                <w:highlight w:val="none"/>
              </w:rPr>
            </w:pP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的比例：</w:t>
            </w:r>
            <w:r>
              <w:rPr>
                <w:rFonts w:hint="eastAsia" w:ascii="楷体" w:hAnsi="楷体" w:eastAsia="楷体"/>
                <w:bCs/>
                <w:color w:val="000000" w:themeColor="text1"/>
                <w:sz w:val="28"/>
                <w:szCs w:val="28"/>
                <w:highlight w:val="none"/>
                <w:u w:val="single"/>
                <w14:textFill>
                  <w14:solidFill>
                    <w14:schemeClr w14:val="tx1"/>
                  </w14:solidFill>
                </w14:textFill>
              </w:rPr>
              <w:t xml:space="preserve">      </w:t>
            </w:r>
            <w:r>
              <w:rPr>
                <w:rFonts w:hint="eastAsia" w:ascii="楷体" w:hAnsi="楷体" w:eastAsia="楷体"/>
                <w:bCs/>
                <w:color w:val="000000" w:themeColor="text1"/>
                <w:sz w:val="28"/>
                <w:szCs w:val="28"/>
                <w:highlight w:val="none"/>
                <w14:textFill>
                  <w14:solidFill>
                    <w14:schemeClr w14:val="tx1"/>
                  </w14:solidFill>
                </w14:textFill>
              </w:rPr>
              <w:t xml:space="preserve">%</w:t>
            </w:r>
            <w:r/>
          </w:p>
        </w:tc>
      </w:tr>
    </w:tbl>
    <w:p>
      <w:pPr>
        <w:spacing w:line="240" w:lineRule="exact"/>
        <w:rPr>
          <w:rFonts w:ascii="宋体" w:hAnsi="宋体" w:eastAsia="宋体"/>
          <w:b/>
          <w:bCs/>
          <w:color w:val="000000"/>
          <w:sz w:val="24"/>
          <w:szCs w:val="24"/>
          <w:highlight w:val="none"/>
        </w:rPr>
        <w:outlineLvl w:val="0"/>
      </w:pPr>
      <w:r>
        <w:rPr>
          <w:rFonts w:ascii="宋体" w:hAnsi="宋体" w:eastAsia="宋体"/>
          <w:b/>
          <w:bCs/>
          <w:color w:val="000000"/>
          <w:sz w:val="24"/>
          <w:szCs w:val="24"/>
          <w:highlight w:val="none"/>
        </w:rPr>
      </w:r>
      <w:r/>
    </w:p>
    <w:p>
      <w:pPr>
        <w:spacing w:line="400" w:lineRule="exact"/>
        <w:rPr>
          <w:rFonts w:hint="eastAsia" w:ascii="宋体" w:hAnsi="宋体" w:eastAsia="宋体" w:cs="宋体"/>
          <w:color w:val="000000" w:themeColor="text1"/>
          <w:sz w:val="24"/>
          <w:szCs w:val="24"/>
          <w:highlight w:val="none"/>
          <w:lang w:val="zh-CN"/>
          <w14:textFill>
            <w14:solidFill>
              <w14:schemeClr w14:val="tx1"/>
            </w14:solidFill>
          </w14:textFill>
        </w:rPr>
        <w:outlineLvl w:val="0"/>
      </w:pP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）投标供应商应当根据“项目技术要求和有关说明”的内容在上表中详细填写；</w:t>
      </w:r>
      <w:r/>
    </w:p>
    <w:p>
      <w:pPr>
        <w:spacing w:line="400" w:lineRule="exact"/>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14:textFill>
            <w14:solidFill>
              <w14:schemeClr w14:val="tx1"/>
            </w14:solidFill>
          </w14:textFill>
        </w:rPr>
        <w:t xml:space="preserve">）表格不够可自行延长，</w:t>
      </w:r>
      <w:r>
        <w:rPr>
          <w:rFonts w:hint="eastAsia" w:ascii="宋体" w:hAnsi="宋体" w:eastAsia="宋体" w:cs="宋体"/>
          <w:bCs/>
          <w:color w:val="000000" w:themeColor="text1"/>
          <w:sz w:val="24"/>
          <w:szCs w:val="24"/>
          <w:highlight w:val="none"/>
          <w14:textFill>
            <w14:solidFill>
              <w14:schemeClr w14:val="tx1"/>
            </w14:solidFill>
          </w14:textFill>
        </w:rPr>
        <w:t xml:space="preserve">但不得改变文本格式；</w:t>
      </w:r>
      <w:r/>
    </w:p>
    <w:p>
      <w:pPr>
        <w:ind w:right="153"/>
        <w:spacing w:after="120" w:line="420" w:lineRule="exact"/>
        <w:tabs>
          <w:tab w:val="left" w:pos="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（3）投标供应商对所报相关数据的真实性负责；</w:t>
      </w:r>
      <w:r/>
    </w:p>
    <w:p>
      <w:pPr>
        <w:ind w:right="-511"/>
        <w:spacing w:after="120" w:line="420" w:lineRule="exact"/>
        <w:tabs>
          <w:tab w:val="left" w:pos="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（4）该报价包括实施本项目所需的全部设备、辅助材料、人工费、服务费、运输费、税金、安装调试费及其他一切费用。如有漏项，均由中标人承担；以上报价为含税价</w:t>
      </w:r>
      <w:r/>
    </w:p>
    <w:p>
      <w:pPr>
        <w:spacing w:line="400" w:lineRule="exact"/>
        <w:rPr>
          <w:rFonts w:hint="eastAsia" w:ascii="宋体" w:hAnsi="宋体" w:eastAsia="宋体" w:cs="宋体"/>
          <w:color w:val="000000" w:themeColor="text1"/>
          <w:sz w:val="24"/>
          <w:szCs w:val="24"/>
          <w:lang w:val="zh-CN"/>
          <w14:textFill>
            <w14:solidFill>
              <w14:schemeClr w14:val="tx1"/>
            </w14:solidFill>
          </w14:textFill>
        </w:rPr>
        <w:outlineLvl w:val="0"/>
      </w:pP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lang w:val="zh-CN"/>
          <w14:textFill>
            <w14:solidFill>
              <w14:schemeClr w14:val="tx1"/>
            </w14:solidFill>
          </w14:textFill>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w:t>
      </w:r>
      <w:r>
        <w:rPr>
          <w:rFonts w:hint="eastAsia" w:ascii="宋体" w:hAnsi="宋体" w:eastAsia="宋体" w:cs="宋体"/>
          <w:color w:val="000000" w:themeColor="text1"/>
          <w:sz w:val="24"/>
          <w:szCs w:val="24"/>
          <w:lang w:val="en-US" w:eastAsia="zh-CN"/>
          <w14:textFill>
            <w14:solidFill>
              <w14:schemeClr w14:val="tx1"/>
            </w14:solidFill>
          </w14:textFill>
        </w:rPr>
        <w:t xml:space="preserve">二</w:t>
      </w:r>
      <w:r>
        <w:rPr>
          <w:rFonts w:hint="eastAsia" w:ascii="宋体" w:hAnsi="宋体" w:eastAsia="宋体" w:cs="宋体"/>
          <w:color w:val="000000" w:themeColor="text1"/>
          <w:sz w:val="24"/>
          <w:szCs w:val="24"/>
          <w:lang w:val="zh-CN"/>
          <w14:textFill>
            <w14:solidFill>
              <w14:schemeClr w14:val="tx1"/>
            </w14:solidFill>
          </w14:textFill>
        </w:rPr>
        <w:t xml:space="preserve">章第</w:t>
      </w:r>
      <w:r>
        <w:rPr>
          <w:rFonts w:hint="eastAsia" w:ascii="宋体" w:hAnsi="宋体" w:eastAsia="宋体" w:cs="宋体"/>
          <w:color w:val="000000" w:themeColor="text1"/>
          <w:sz w:val="24"/>
          <w:szCs w:val="24"/>
          <w:lang w:val="en-US" w:eastAsia="zh-CN"/>
          <w14:textFill>
            <w14:solidFill>
              <w14:schemeClr w14:val="tx1"/>
            </w14:solidFill>
          </w14:textFill>
        </w:rPr>
        <w:t xml:space="preserve">五条第三点</w:t>
      </w:r>
      <w:r>
        <w:rPr>
          <w:rFonts w:hint="eastAsia" w:ascii="宋体" w:hAnsi="宋体" w:eastAsia="宋体" w:cs="宋体"/>
          <w:color w:val="000000" w:themeColor="text1"/>
          <w:sz w:val="24"/>
          <w:szCs w:val="24"/>
          <w:lang w:val="zh-CN"/>
          <w14:textFill>
            <w14:solidFill>
              <w14:schemeClr w14:val="tx1"/>
            </w14:solidFill>
          </w14:textFill>
        </w:rPr>
        <w:t xml:space="preserve">“对本国产品的支持政策”）</w:t>
      </w:r>
      <w:r/>
    </w:p>
    <w:p>
      <w:pPr>
        <w:spacing w:line="400" w:lineRule="exact"/>
        <w:rPr>
          <w:rFonts w:hint="eastAsia" w:ascii="宋体" w:hAnsi="宋体" w:eastAsia="宋体" w:cs="宋体"/>
          <w:color w:val="000000" w:themeColor="text1"/>
          <w:sz w:val="24"/>
          <w:szCs w:val="24"/>
          <w:lang w:val="zh-CN"/>
          <w14:textFill>
            <w14:solidFill>
              <w14:schemeClr w14:val="tx1"/>
            </w14:solidFill>
          </w14:textFill>
        </w:rPr>
        <w:outlineLvl w:val="0"/>
      </w:pPr>
      <w:r>
        <w:rPr>
          <w:rFonts w:hint="eastAsia" w:ascii="宋体" w:hAnsi="宋体" w:eastAsia="宋体" w:cs="宋体"/>
          <w:color w:val="000000" w:themeColor="text1"/>
          <w:sz w:val="24"/>
          <w:szCs w:val="24"/>
          <w:lang w:val="zh-CN"/>
          <w14:textFill>
            <w14:solidFill>
              <w14:schemeClr w14:val="tx1"/>
            </w14:solidFill>
          </w14:textFill>
        </w:rPr>
      </w:r>
      <w:r/>
    </w:p>
    <w:p>
      <w:pPr>
        <w:spacing w:line="400" w:lineRule="exact"/>
        <w:rPr>
          <w:rFonts w:hint="eastAsia" w:ascii="宋体" w:hAnsi="宋体" w:eastAsia="宋体" w:cs="宋体"/>
          <w:color w:val="000000" w:themeColor="text1"/>
          <w:sz w:val="24"/>
          <w:szCs w:val="24"/>
          <w:u w:val="single"/>
          <w:lang w:val="zh-CN"/>
          <w14:textFill>
            <w14:solidFill>
              <w14:schemeClr w14:val="tx1"/>
            </w14:solidFill>
          </w14:textFill>
        </w:rPr>
        <w:outlineLvl w:val="0"/>
      </w:pPr>
      <w:r>
        <w:rPr>
          <w:rFonts w:hint="eastAsia" w:ascii="宋体" w:hAnsi="宋体" w:eastAsia="宋体" w:cs="宋体"/>
          <w:b/>
          <w:bCs/>
          <w:color w:val="000000" w:themeColor="text1"/>
          <w:sz w:val="24"/>
          <w:szCs w:val="24"/>
          <w:lang w:val="zh-CN"/>
          <w14:textFill>
            <w14:solidFill>
              <w14:schemeClr w14:val="tx1"/>
            </w14:solidFill>
          </w14:textFill>
        </w:rPr>
        <w:t xml:space="preserve">特别注意！！</w:t>
      </w:r>
      <w:r>
        <w:rPr>
          <w:rFonts w:hint="eastAsia" w:ascii="宋体" w:hAnsi="宋体" w:eastAsia="宋体" w:cs="宋体"/>
          <w:color w:val="000000" w:themeColor="text1"/>
          <w:sz w:val="24"/>
          <w:szCs w:val="24"/>
          <w:u w:val="single"/>
          <w:lang w:val="zh-CN"/>
          <w14:textFill>
            <w14:solidFill>
              <w14:schemeClr w14:val="tx1"/>
            </w14:solidFill>
          </w14:textFill>
        </w:rPr>
        <w:t xml:space="preserve">“符合本国产品标准的产品成本之和”是指本项目或采购包中符合本国产品标准的货物成本之和；“全部产品成本之和”是指货物或服务项目（或者采购包）中包含的全部货物、服务产品的成本之和。</w:t>
      </w:r>
      <w:r/>
    </w:p>
    <w:p>
      <w:pPr>
        <w:ind w:right="-511"/>
        <w:spacing w:after="120" w:line="420" w:lineRule="exact"/>
        <w:tabs>
          <w:tab w:val="left" w:pos="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1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法定代表人或法定代表人授权代表签字或盖章：</w:t>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日期：</w:t>
      </w:r>
      <w:r/>
    </w:p>
    <w:p>
      <w:pPr>
        <w:pStyle w:val="1120"/>
        <w:rPr>
          <w:rFonts w:ascii="宋体" w:hAnsi="宋体"/>
          <w:color w:val="000000"/>
          <w:sz w:val="24"/>
          <w:szCs w:val="24"/>
          <w:highlight w:val="none"/>
        </w:rPr>
      </w:pPr>
      <w:r>
        <w:rPr>
          <w:rFonts w:ascii="宋体" w:hAnsi="宋体"/>
          <w:color w:val="000000"/>
          <w:sz w:val="24"/>
          <w:szCs w:val="24"/>
          <w:highlight w:val="none"/>
        </w:rPr>
      </w:r>
      <w:r/>
    </w:p>
    <w:p>
      <w:pPr>
        <w:rPr>
          <w:rFonts w:ascii="宋体" w:hAnsi="宋体" w:eastAsia="宋体"/>
          <w:b/>
          <w:color w:val="000000"/>
          <w:sz w:val="24"/>
          <w:szCs w:val="24"/>
          <w:highlight w:val="none"/>
        </w:rPr>
      </w:pPr>
      <w:r>
        <w:rPr>
          <w:rFonts w:ascii="宋体" w:hAnsi="宋体" w:eastAsia="宋体"/>
          <w:b/>
          <w:color w:val="000000"/>
          <w:sz w:val="24"/>
          <w:szCs w:val="24"/>
          <w:highlight w:val="none"/>
        </w:rPr>
      </w:r>
      <w:r/>
    </w:p>
    <w:p>
      <w:pPr>
        <w:pStyle w:val="1120"/>
        <w:ind w:left="0" w:firstLine="0"/>
        <w:jc w:val="both"/>
        <w:rPr>
          <w:color w:val="000000"/>
          <w:highlight w:val="none"/>
        </w:rPr>
      </w:pPr>
      <w:r>
        <w:rPr>
          <w:color w:val="000000"/>
          <w:highlight w:val="none"/>
        </w:rPr>
      </w:r>
      <w:r/>
    </w:p>
    <w:p>
      <w:pPr>
        <w:rPr>
          <w:color w:val="000000"/>
          <w:highlight w:val="none"/>
        </w:rPr>
      </w:pPr>
      <w:r>
        <w:rPr>
          <w:color w:val="000000"/>
          <w:highlight w:val="none"/>
        </w:rPr>
      </w:r>
      <w:r/>
    </w:p>
    <w:p>
      <w:pPr>
        <w:pStyle w:val="1040"/>
        <w:rPr>
          <w:color w:val="000000"/>
          <w:highlight w:val="none"/>
        </w:rPr>
      </w:pPr>
      <w:r>
        <w:rPr>
          <w:color w:val="000000"/>
          <w:highlight w:val="none"/>
        </w:rPr>
      </w:r>
      <w:r/>
    </w:p>
    <w:p>
      <w:pPr>
        <w:pStyle w:val="1269"/>
        <w:ind w:firstLine="0"/>
        <w:rPr>
          <w:rFonts w:ascii="宋体" w:hAnsi="宋体"/>
          <w:b/>
          <w:bCs/>
          <w:color w:val="000000"/>
          <w:sz w:val="24"/>
          <w:szCs w:val="24"/>
          <w:highlight w:val="none"/>
        </w:rPr>
      </w:pPr>
      <w:r>
        <w:rPr>
          <w:rFonts w:ascii="宋体" w:hAnsi="宋体"/>
          <w:b/>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t xml:space="preserve">(</w:t>
      </w:r>
      <w:r>
        <w:rPr>
          <w:rFonts w:hint="eastAsia" w:eastAsia="黑体"/>
          <w:bCs/>
          <w:color w:val="000000"/>
          <w:sz w:val="24"/>
          <w:szCs w:val="24"/>
          <w:highlight w:val="none"/>
        </w:rPr>
        <w:t xml:space="preserve">七</w:t>
      </w:r>
      <w:r>
        <w:rPr>
          <w:rFonts w:eastAsia="黑体"/>
          <w:bCs/>
          <w:color w:val="000000"/>
          <w:sz w:val="24"/>
          <w:szCs w:val="24"/>
          <w:highlight w:val="none"/>
        </w:rPr>
        <w:t xml:space="preserve">) </w:t>
      </w:r>
      <w:r>
        <w:rPr>
          <w:rFonts w:ascii="Arial" w:hAnsi="Arial" w:eastAsia="黑体"/>
          <w:bCs/>
          <w:color w:val="000000"/>
          <w:sz w:val="24"/>
          <w:szCs w:val="32"/>
          <w:highlight w:val="none"/>
        </w:rPr>
        <w:t xml:space="preserve">服务保障承诺书(格式)：</w:t>
      </w:r>
      <w:r/>
    </w:p>
    <w:p>
      <w:pPr>
        <w:jc w:val="center"/>
        <w:spacing w:line="360" w:lineRule="auto"/>
        <w:rPr>
          <w:rFonts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服务承诺</w:t>
      </w:r>
      <w:r/>
    </w:p>
    <w:p>
      <w:pPr>
        <w:jc w:val="left"/>
        <w:spacing w:line="360" w:lineRule="auto"/>
        <w:rPr>
          <w:rFonts w:eastAsia="黑体"/>
          <w:bCs/>
          <w:color w:val="000000"/>
          <w:sz w:val="28"/>
          <w:szCs w:val="28"/>
          <w:highlight w:val="none"/>
        </w:rPr>
      </w:pPr>
      <w:r>
        <w:rPr>
          <w:rFonts w:eastAsia="黑体"/>
          <w:bCs/>
          <w:color w:val="000000"/>
          <w:sz w:val="28"/>
          <w:szCs w:val="28"/>
          <w:highlight w:val="none"/>
        </w:rPr>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(供应商名称)针对本次</w:t>
      </w:r>
      <w:r>
        <w:rPr>
          <w:rFonts w:hint="eastAsia" w:ascii="宋体" w:hAnsi="宋体" w:eastAsia="宋体" w:cs="宋体"/>
          <w:bCs/>
          <w:color w:val="000000"/>
          <w:sz w:val="24"/>
          <w:szCs w:val="24"/>
          <w:highlight w:val="none"/>
          <w:u w:val="single"/>
          <w:lang w:eastAsia="zh-CN"/>
        </w:rPr>
        <w:t xml:space="preserve">东亭街道安置房小区老旧电梯更新项目</w:t>
      </w:r>
      <w:r>
        <w:rPr>
          <w:rFonts w:hint="eastAsia" w:ascii="宋体" w:hAnsi="宋体" w:eastAsia="宋体" w:cs="宋体"/>
          <w:color w:val="000000"/>
          <w:sz w:val="24"/>
          <w:szCs w:val="24"/>
          <w:highlight w:val="none"/>
        </w:rPr>
        <w:t xml:space="preserve">在此承诺：</w:t>
      </w:r>
      <w:r/>
    </w:p>
    <w:p>
      <w:pPr>
        <w:ind w:firstLine="960"/>
        <w:spacing w:line="48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t xml:space="preserve">…………………</w:t>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如违背上述承诺，本公司</w:t>
      </w:r>
      <w:r>
        <w:rPr>
          <w:rFonts w:hint="eastAsia" w:ascii="宋体" w:hAnsi="宋体" w:eastAsia="宋体" w:cs="宋体"/>
          <w:color w:val="000000"/>
          <w:sz w:val="24"/>
          <w:szCs w:val="24"/>
          <w:highlight w:val="none"/>
        </w:rPr>
        <w:t xml:space="preserve">（单位）</w:t>
      </w:r>
      <w:r>
        <w:rPr>
          <w:rFonts w:hint="eastAsia" w:ascii="宋体" w:hAnsi="宋体" w:eastAsia="宋体" w:cs="宋体"/>
          <w:bCs/>
          <w:color w:val="000000"/>
          <w:sz w:val="24"/>
          <w:szCs w:val="24"/>
          <w:highlight w:val="none"/>
        </w:rPr>
        <w:t xml:space="preserve">将承担一切法律责任。</w:t>
      </w:r>
      <w:r/>
    </w:p>
    <w:p>
      <w:pPr>
        <w:ind w:firstLine="3720"/>
        <w:spacing w:line="48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3720"/>
        <w:spacing w:line="48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3720"/>
        <w:spacing w:line="480" w:lineRule="auto"/>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供应商</w:t>
      </w:r>
      <w:r>
        <w:rPr>
          <w:rFonts w:hint="eastAsia" w:ascii="宋体" w:hAnsi="宋体" w:eastAsia="宋体" w:cs="宋体"/>
          <w:bCs/>
          <w:color w:val="000000"/>
          <w:sz w:val="24"/>
          <w:szCs w:val="24"/>
          <w:highlight w:val="none"/>
        </w:rPr>
        <w:t xml:space="preserve">（盖章）：</w:t>
      </w:r>
      <w:r/>
    </w:p>
    <w:p>
      <w:pPr>
        <w:ind w:firstLine="48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p>
    <w:p>
      <w:pPr>
        <w:ind w:firstLine="420"/>
        <w:spacing w:line="480" w:lineRule="auto"/>
        <w:rPr>
          <w:rFonts w:ascii="宋体" w:hAnsi="宋体" w:eastAsia="宋体" w:cs="宋体"/>
          <w:b/>
          <w:color w:val="000000"/>
          <w:szCs w:val="21"/>
          <w:highlight w:val="none"/>
        </w:rPr>
      </w:pPr>
      <w:r>
        <w:rPr>
          <w:rFonts w:ascii="宋体" w:hAnsi="宋体" w:eastAsia="宋体" w:cs="宋体"/>
          <w:b/>
          <w:color w:val="000000"/>
          <w:szCs w:val="21"/>
          <w:highlight w:val="none"/>
        </w:rPr>
      </w:r>
      <w:r/>
    </w:p>
    <w:p>
      <w:pPr>
        <w:ind w:firstLine="420"/>
        <w:spacing w:line="480" w:lineRule="auto"/>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注：以上内容由投标单位根据采购要求自行完善。</w:t>
      </w:r>
      <w:r/>
    </w:p>
    <w:p>
      <w:pPr>
        <w:pStyle w:val="1269"/>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69"/>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69"/>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69"/>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69"/>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69"/>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69"/>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69"/>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69"/>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69"/>
        <w:ind w:firstLine="0"/>
        <w:rPr>
          <w:rFonts w:ascii="宋体" w:hAnsi="宋体"/>
          <w:b/>
          <w:bCs/>
          <w:color w:val="000000"/>
          <w:sz w:val="24"/>
          <w:szCs w:val="24"/>
          <w:highlight w:val="none"/>
        </w:rPr>
      </w:pPr>
      <w:r>
        <w:rPr>
          <w:rFonts w:ascii="宋体" w:hAnsi="宋体"/>
          <w:b/>
          <w:bCs/>
          <w:color w:val="000000"/>
          <w:sz w:val="24"/>
          <w:szCs w:val="24"/>
          <w:highlight w:val="none"/>
        </w:rPr>
      </w:r>
      <w:r/>
    </w:p>
    <w:p>
      <w:pPr>
        <w:ind w:firstLine="420"/>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（八）投标偏离表（格式）：</w:t>
      </w:r>
      <w:r/>
    </w:p>
    <w:tbl>
      <w:tblPr>
        <w:tblStyle w:val="1031"/>
        <w:tblpPr w:horzAnchor="page" w:tblpX="972" w:vertAnchor="text" w:tblpY="2490" w:leftFromText="180" w:topFromText="0" w:rightFromText="180" w:bottomFromText="0"/>
        <w:tblW w:w="10047" w:type="dxa"/>
        <w:tblInd w:w="0" w:type="dxa"/>
        <w:tblLayout w:type="fixed"/>
        <w:tblCellMar>
          <w:left w:w="15" w:type="dxa"/>
          <w:top w:w="15" w:type="dxa"/>
          <w:right w:w="15" w:type="dxa"/>
          <w:bottom w:w="0" w:type="dxa"/>
        </w:tblCellMar>
        <w:tblLook w:val="04A0" w:firstRow="1" w:lastRow="0" w:firstColumn="1" w:lastColumn="0" w:noHBand="0" w:noVBand="1"/>
      </w:tblPr>
      <w:tblGrid>
        <w:gridCol w:w="1717"/>
        <w:gridCol w:w="1968"/>
        <w:gridCol w:w="2605"/>
        <w:gridCol w:w="1996"/>
        <w:gridCol w:w="176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ascii="宋体"/>
                <w:b/>
                <w:bCs/>
                <w:color w:val="000000"/>
                <w:sz w:val="24"/>
                <w:szCs w:val="24"/>
                <w:highlight w:val="none"/>
              </w:rPr>
            </w:pP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hint="eastAsia"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偏离说明</w:t>
            </w:r>
            <w:r/>
          </w:p>
        </w:tc>
      </w:tr>
      <w:tr>
        <w:trPr>
          <w:cantSplit/>
          <w:trHeight w:val="63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eastAsia="等线"/>
                <w:bCs/>
                <w:color w:val="000000"/>
                <w:highlight w:val="none"/>
                <w:lang w:val="en-US" w:eastAsia="zh-CN"/>
              </w:rPr>
            </w:pPr>
            <w:r>
              <w:rPr>
                <w:rFonts w:hint="eastAsia" w:ascii="宋体"/>
                <w:b/>
                <w:bCs w:val="0"/>
                <w:color w:val="000000"/>
                <w:highlight w:val="none"/>
                <w:lang w:val="en-US" w:eastAsia="zh-CN"/>
              </w:rPr>
              <w:t xml:space="preserve">技术部分</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eastAsia="等线"/>
                <w:bCs/>
                <w:color w:val="000000"/>
                <w:highlight w:val="none"/>
                <w:lang w:val="en-US" w:eastAsia="zh-CN"/>
              </w:rPr>
            </w:pPr>
            <w:r>
              <w:rPr>
                <w:rFonts w:hint="eastAsia" w:ascii="宋体"/>
                <w:bCs/>
                <w:color w:val="000000"/>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hint="default" w:ascii="宋体" w:eastAsia="等线"/>
                <w:bCs/>
                <w:color w:val="000000"/>
                <w:highlight w:val="none"/>
                <w:lang w:val="en-US" w:eastAsia="zh-CN"/>
              </w:rPr>
            </w:pPr>
            <w:r>
              <w:rPr>
                <w:rFonts w:hint="default" w:ascii="宋体" w:eastAsia="等线"/>
                <w:bCs/>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default" w:ascii="宋体" w:eastAsia="等线"/>
                <w:bCs/>
                <w:color w:val="000000"/>
                <w:highlight w:val="none"/>
                <w:lang w:val="en-US" w:eastAsia="zh-CN"/>
              </w:rPr>
            </w:pPr>
            <w:r>
              <w:rPr>
                <w:rFonts w:hint="default" w:ascii="宋体" w:eastAsia="等线"/>
                <w:bCs/>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hAnsi="等线" w:eastAsia="等线" w:cs="Times New Roman"/>
                <w:bCs/>
                <w:color w:val="000000"/>
                <w:sz w:val="21"/>
                <w:szCs w:val="22"/>
                <w:highlight w:val="none"/>
                <w:lang w:val="en-US" w:eastAsia="zh-CN" w:bidi="ar-SA"/>
              </w:rPr>
            </w:pPr>
            <w:r>
              <w:rPr>
                <w:rFonts w:hint="eastAsia" w:ascii="宋体" w:cs="Times New Roman"/>
                <w:bCs/>
                <w:color w:val="000000"/>
                <w:sz w:val="21"/>
                <w:szCs w:val="22"/>
                <w:highlight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b/>
                <w:bCs w:val="0"/>
                <w:color w:val="000000"/>
                <w:highlight w:val="none"/>
                <w:lang w:val="en-US" w:eastAsia="zh-CN"/>
              </w:rPr>
            </w:pPr>
            <w:r>
              <w:rPr>
                <w:rFonts w:hint="eastAsia" w:ascii="宋体"/>
                <w:b/>
                <w:bCs w:val="0"/>
                <w:color w:val="000000"/>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hAnsi="等线" w:eastAsia="等线" w:cs="Times New Roman"/>
                <w:bCs/>
                <w:color w:val="000000"/>
                <w:sz w:val="21"/>
                <w:szCs w:val="22"/>
                <w:highlight w:val="none"/>
                <w:lang w:val="en-US" w:eastAsia="zh-CN" w:bidi="ar-SA"/>
              </w:rPr>
            </w:pPr>
            <w:r>
              <w:rPr>
                <w:rFonts w:hint="eastAsia" w:ascii="宋体" w:hAnsi="宋体" w:eastAsia="宋体" w:cs="宋体"/>
                <w:color w:val="000000" w:themeColor="text1"/>
                <w:sz w:val="24"/>
                <w:highlight w:val="none"/>
                <w:lang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b/>
                <w:bCs w:val="0"/>
                <w:color w:val="000000"/>
                <w:highlight w:val="none"/>
                <w:lang w:val="en-US" w:eastAsia="zh-CN"/>
              </w:rPr>
              <w:t xml:space="preserve">商务部分</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宋体" w:cs="宋体"/>
                <w:color w:val="000000" w:themeColor="text1"/>
                <w:szCs w:val="22"/>
                <w:highlight w:val="none"/>
                <w14:textFill>
                  <w14:solidFill>
                    <w14:schemeClr w14:val="tx1"/>
                  </w14:solidFill>
                </w14:textFill>
              </w:rPr>
              <w:t xml:space="preserve">响应</w:t>
            </w:r>
            <w:r>
              <w:rPr>
                <w:rFonts w:hint="eastAsia" w:ascii="宋体" w:hAnsi="宋体" w:cs="宋体"/>
                <w:color w:val="000000" w:themeColor="text1"/>
                <w:szCs w:val="22"/>
                <w:highlight w:val="none"/>
                <w:lang w:val="en-US" w:eastAsia="zh-CN"/>
                <w14:textFill>
                  <w14:solidFill>
                    <w14:schemeClr w14:val="tx1"/>
                  </w14:solidFill>
                </w14:textFill>
              </w:rPr>
              <w:t xml:space="preserve">第三章项目要求和有关说明中商务部分</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bl>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t xml:space="preserve">投标偏离表</w:t>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供应商名称（盖章）</w:t>
      </w:r>
      <w:r>
        <w:rPr>
          <w:rFonts w:ascii="黑体" w:eastAsia="黑体"/>
          <w:bCs/>
          <w:color w:val="000000"/>
          <w:sz w:val="24"/>
          <w:szCs w:val="24"/>
          <w:highlight w:val="none"/>
        </w:rPr>
        <w:t xml:space="preserve">                     </w:t>
      </w:r>
      <w:r>
        <w:rPr>
          <w:rFonts w:hint="eastAsia" w:ascii="黑体" w:eastAsia="黑体"/>
          <w:bCs/>
          <w:color w:val="000000"/>
          <w:sz w:val="24"/>
          <w:szCs w:val="24"/>
          <w:highlight w:val="none"/>
        </w:rPr>
        <w:t xml:space="preserve">采购项目编号：</w:t>
      </w:r>
      <w:r>
        <w:rPr>
          <w:rFonts w:hint="eastAsia" w:ascii="黑体" w:eastAsia="黑体"/>
          <w:color w:val="000000"/>
          <w:highlight w:val="none"/>
          <w:lang w:eastAsia="zh-CN"/>
        </w:rPr>
        <w:t xml:space="preserve">JSZC-320205-JZCG-G2026-0024</w:t>
      </w:r>
      <w:r/>
    </w:p>
    <w:p>
      <w:pPr>
        <w:rPr>
          <w:rFonts w:ascii="宋体"/>
          <w:b/>
          <w:color w:val="000000"/>
          <w:sz w:val="24"/>
          <w:szCs w:val="24"/>
          <w:highlight w:val="none"/>
        </w:rPr>
      </w:pPr>
      <w:r>
        <w:rPr>
          <w:rFonts w:ascii="宋体"/>
          <w:b/>
          <w:color w:val="000000"/>
          <w:sz w:val="24"/>
          <w:szCs w:val="24"/>
          <w:highlight w:val="none"/>
        </w:rPr>
      </w:r>
      <w:r/>
    </w:p>
    <w:p>
      <w:pPr>
        <w:rPr>
          <w:b/>
          <w:bCs/>
          <w:color w:val="000000"/>
          <w:sz w:val="24"/>
          <w:szCs w:val="24"/>
          <w:highlight w:val="none"/>
        </w:rPr>
      </w:pPr>
      <w:r>
        <w:rPr>
          <w:rFonts w:hint="eastAsia"/>
          <w:b/>
          <w:bCs/>
          <w:color w:val="000000"/>
          <w:sz w:val="24"/>
          <w:szCs w:val="24"/>
          <w:highlight w:val="none"/>
        </w:rPr>
        <w:t xml:space="preserve">法定代表人或法定代表人授权代表签字或盖章：</w:t>
      </w:r>
      <w:r/>
    </w:p>
    <w:p>
      <w:pPr>
        <w:rPr>
          <w:rFonts w:ascii="宋体"/>
          <w:bCs/>
          <w:color w:val="000000"/>
          <w:sz w:val="30"/>
          <w:highlight w:val="none"/>
        </w:rPr>
      </w:pPr>
      <w:r>
        <w:rPr>
          <w:rFonts w:ascii="宋体"/>
          <w:bCs/>
          <w:color w:val="000000"/>
          <w:sz w:val="30"/>
          <w:highlight w:val="none"/>
        </w:rPr>
      </w:r>
      <w:r/>
    </w:p>
    <w:p>
      <w:pPr>
        <w:rPr>
          <w:rFonts w:hint="eastAsia" w:ascii="宋体" w:hAnsi="宋体" w:eastAsia="宋体" w:cs="Times New Roman"/>
          <w:b/>
          <w:bCs w:val="0"/>
          <w:color w:val="000000"/>
          <w:sz w:val="28"/>
          <w:szCs w:val="28"/>
          <w:highlight w:val="none"/>
          <w:lang w:val="en-US" w:eastAsia="zh-CN"/>
        </w:rPr>
        <w:outlineLvl w:val="0"/>
      </w:pPr>
      <w:r>
        <w:rPr>
          <w:rFonts w:hint="eastAsia" w:ascii="宋体" w:hAnsi="宋体" w:eastAsia="宋体" w:cs="Times New Roman"/>
          <w:b/>
          <w:bCs w:val="0"/>
          <w:color w:val="000000"/>
          <w:sz w:val="28"/>
          <w:szCs w:val="28"/>
          <w:highlight w:val="none"/>
          <w:lang w:val="en-US" w:eastAsia="zh-CN"/>
        </w:rPr>
        <w:t xml:space="preserve">注：</w:t>
      </w:r>
      <w:r/>
    </w:p>
    <w:p>
      <w:pPr>
        <w:ind w:firstLine="480"/>
        <w:rPr>
          <w:rFonts w:hint="eastAsia" w:ascii="宋体" w:hAnsi="宋体" w:eastAsia="宋体" w:cs="Times New Roman"/>
          <w:b w:val="0"/>
          <w:bCs/>
          <w:color w:val="000000"/>
          <w:sz w:val="28"/>
          <w:szCs w:val="28"/>
          <w:highlight w:val="none"/>
          <w:lang w:val="en-US" w:eastAsia="zh-CN"/>
        </w:rPr>
        <w:outlineLvl w:val="0"/>
      </w:pPr>
      <w:r>
        <w:rPr>
          <w:rFonts w:hint="eastAsia" w:ascii="宋体" w:hAnsi="宋体" w:eastAsia="宋体" w:cs="Times New Roman"/>
          <w:b w:val="0"/>
          <w:bCs/>
          <w:color w:val="000000"/>
          <w:sz w:val="28"/>
          <w:szCs w:val="28"/>
          <w:highlight w:val="none"/>
          <w:lang w:val="en-US" w:eastAsia="zh-CN"/>
        </w:rPr>
        <w:t xml:space="preserve">（1）本表不得删除；</w:t>
      </w:r>
      <w:r/>
    </w:p>
    <w:p>
      <w:pPr>
        <w:ind w:firstLine="482"/>
        <w:keepLines w:val="0"/>
        <w:keepNext w:val="0"/>
        <w:pageBreakBefore w:val="0"/>
        <w:widowControl w:val="off"/>
        <w:rPr>
          <w:rFonts w:hint="default" w:ascii="宋体" w:hAnsi="宋体" w:eastAsia="宋体" w:cs="Times New Roman"/>
          <w:b w:val="0"/>
          <w:bCs/>
          <w:color w:val="c00000"/>
          <w:sz w:val="28"/>
          <w:szCs w:val="28"/>
          <w:highlight w:val="none"/>
          <w:lang w:val="en-US" w:eastAsia="zh-CN"/>
        </w:rPr>
        <w:outlineLvl w:val="0"/>
      </w:pPr>
      <w:r>
        <w:rPr>
          <w:rFonts w:hint="eastAsia" w:ascii="宋体" w:hAnsi="宋体" w:eastAsia="宋体" w:cs="Times New Roman"/>
          <w:b w:val="0"/>
          <w:bCs/>
          <w:color w:val="000000"/>
          <w:sz w:val="28"/>
          <w:szCs w:val="28"/>
          <w:highlight w:val="none"/>
          <w:lang w:val="en-US" w:eastAsia="zh-CN"/>
        </w:rPr>
        <w:t xml:space="preserve">（2）</w:t>
      </w:r>
      <w:r>
        <w:rPr>
          <w:rFonts w:hint="eastAsia" w:ascii="宋体" w:hAnsi="宋体" w:eastAsia="宋体" w:cs="Times New Roman"/>
          <w:b w:val="0"/>
          <w:bCs/>
          <w:color w:val="c00000"/>
          <w:sz w:val="28"/>
          <w:szCs w:val="28"/>
          <w:highlight w:val="none"/>
          <w:lang w:val="en-US" w:eastAsia="zh-CN"/>
        </w:rPr>
        <w:t xml:space="preserve">货物类采购须按“第三章项目要求和有关说明”中的“</w:t>
      </w:r>
      <w:r>
        <w:rPr>
          <w:rFonts w:hint="eastAsia" w:ascii="宋体" w:hAnsi="宋体" w:eastAsia="宋体" w:cs="Times New Roman"/>
          <w:b/>
          <w:bCs w:val="0"/>
          <w:color w:val="c00000"/>
          <w:sz w:val="28"/>
          <w:szCs w:val="28"/>
          <w:highlight w:val="none"/>
          <w:lang w:val="en-US" w:eastAsia="zh-CN"/>
        </w:rPr>
        <w:t xml:space="preserve">技术部分”逐条列明</w:t>
      </w:r>
      <w:r>
        <w:rPr>
          <w:rFonts w:hint="eastAsia" w:ascii="宋体" w:hAnsi="宋体" w:eastAsia="宋体" w:cs="Times New Roman"/>
          <w:b w:val="0"/>
          <w:bCs/>
          <w:color w:val="c00000"/>
          <w:sz w:val="28"/>
          <w:szCs w:val="28"/>
          <w:highlight w:val="none"/>
          <w:lang w:val="en-US" w:eastAsia="zh-CN"/>
        </w:rPr>
        <w:t xml:space="preserve">，“实报内容”须包含</w:t>
      </w:r>
      <w:r>
        <w:rPr>
          <w:rFonts w:hint="eastAsia" w:ascii="宋体" w:hAnsi="宋体" w:eastAsia="宋体" w:cs="Times New Roman"/>
          <w:b/>
          <w:bCs w:val="0"/>
          <w:color w:val="c00000"/>
          <w:sz w:val="28"/>
          <w:szCs w:val="28"/>
          <w:highlight w:val="none"/>
          <w:lang w:val="en-US" w:eastAsia="zh-CN"/>
        </w:rPr>
        <w:t xml:space="preserve">参数要求、工程量、计量</w:t>
      </w:r>
      <w:r>
        <w:rPr>
          <w:rFonts w:hint="eastAsia" w:ascii="宋体" w:hAnsi="宋体" w:eastAsia="宋体" w:cs="Times New Roman"/>
          <w:b/>
          <w:bCs w:val="0"/>
          <w:color w:val="c00000"/>
          <w:sz w:val="28"/>
          <w:szCs w:val="28"/>
          <w:highlight w:val="none"/>
          <w:lang w:val="en-US" w:eastAsia="zh-CN"/>
        </w:rPr>
        <w:br/>
      </w:r>
      <w:r>
        <w:rPr>
          <w:rFonts w:hint="eastAsia" w:ascii="宋体" w:hAnsi="宋体" w:eastAsia="宋体" w:cs="Times New Roman"/>
          <w:b/>
          <w:bCs w:val="0"/>
          <w:color w:val="c00000"/>
          <w:sz w:val="28"/>
          <w:szCs w:val="28"/>
          <w:highlight w:val="none"/>
          <w:lang w:val="en-US" w:eastAsia="zh-CN"/>
        </w:rPr>
        <w:t xml:space="preserve">单位</w:t>
      </w:r>
      <w:r>
        <w:rPr>
          <w:rFonts w:hint="eastAsia" w:ascii="宋体" w:hAnsi="宋体" w:eastAsia="宋体" w:cs="Times New Roman"/>
          <w:b w:val="0"/>
          <w:bCs/>
          <w:color w:val="c00000"/>
          <w:sz w:val="28"/>
          <w:szCs w:val="28"/>
          <w:highlight w:val="none"/>
          <w:lang w:val="en-US" w:eastAsia="zh-CN"/>
        </w:rPr>
        <w:t xml:space="preserve">。</w:t>
      </w:r>
      <w:r>
        <w:rPr>
          <w:rFonts w:hint="eastAsia" w:ascii="宋体" w:hAnsi="宋体" w:eastAsia="宋体" w:cs="Times New Roman"/>
          <w:b/>
          <w:bCs w:val="0"/>
          <w:color w:val="c00000"/>
          <w:sz w:val="28"/>
          <w:szCs w:val="28"/>
          <w:highlight w:val="none"/>
          <w:lang w:val="en-US" w:eastAsia="zh-CN"/>
        </w:rPr>
        <w:t xml:space="preserve">若不填写或填写不完整按无效投标文件处理</w:t>
      </w:r>
      <w:r>
        <w:rPr>
          <w:rFonts w:hint="eastAsia" w:ascii="宋体" w:hAnsi="宋体" w:eastAsia="宋体" w:cs="Times New Roman"/>
          <w:b w:val="0"/>
          <w:bCs/>
          <w:color w:val="c00000"/>
          <w:sz w:val="28"/>
          <w:szCs w:val="28"/>
          <w:highlight w:val="none"/>
          <w:lang w:val="en-US" w:eastAsia="zh-CN"/>
        </w:rPr>
        <w:t xml:space="preserve">。</w:t>
      </w:r>
      <w:r/>
    </w:p>
    <w:p>
      <w:pPr>
        <w:ind w:firstLine="480"/>
        <w:rPr>
          <w:rFonts w:hint="default" w:ascii="宋体" w:hAnsi="宋体" w:eastAsia="宋体" w:cs="Times New Roman"/>
          <w:b w:val="0"/>
          <w:bCs/>
          <w:color w:val="c00000"/>
          <w:sz w:val="28"/>
          <w:szCs w:val="28"/>
          <w:highlight w:val="none"/>
          <w:lang w:val="en-US" w:eastAsia="zh-CN"/>
        </w:rPr>
        <w:outlineLvl w:val="0"/>
      </w:pPr>
      <w:r>
        <w:rPr>
          <w:rFonts w:hint="eastAsia" w:ascii="宋体" w:hAnsi="宋体" w:eastAsia="宋体" w:cs="Times New Roman"/>
          <w:b w:val="0"/>
          <w:bCs/>
          <w:color w:val="c00000"/>
          <w:sz w:val="28"/>
          <w:szCs w:val="28"/>
          <w:highlight w:val="none"/>
          <w:lang w:val="en-US" w:eastAsia="zh-CN"/>
        </w:rPr>
        <w:t xml:space="preserve">（3）商务部分如无任何服务偏离，请于本表商务部分“偏离说明”中注明“无偏离”，</w:t>
      </w:r>
      <w:r>
        <w:rPr>
          <w:rFonts w:hint="eastAsia" w:ascii="宋体" w:hAnsi="宋体" w:eastAsia="宋体" w:cs="Times New Roman"/>
          <w:b/>
          <w:bCs w:val="0"/>
          <w:color w:val="c00000"/>
          <w:sz w:val="28"/>
          <w:szCs w:val="28"/>
          <w:highlight w:val="none"/>
          <w:lang w:val="en-US" w:eastAsia="zh-CN"/>
        </w:rPr>
        <w:t xml:space="preserve">若不填写按无效投标文件处理</w:t>
      </w:r>
      <w:r>
        <w:rPr>
          <w:rFonts w:hint="eastAsia" w:ascii="宋体" w:hAnsi="宋体" w:eastAsia="宋体" w:cs="Times New Roman"/>
          <w:b w:val="0"/>
          <w:bCs/>
          <w:color w:val="c00000"/>
          <w:sz w:val="28"/>
          <w:szCs w:val="28"/>
          <w:highlight w:val="none"/>
          <w:lang w:val="en-US" w:eastAsia="zh-CN"/>
        </w:rPr>
        <w:t xml:space="preserve">。</w:t>
      </w:r>
      <w:r/>
    </w:p>
    <w:p>
      <w:pPr>
        <w:ind w:firstLine="480"/>
        <w:rPr>
          <w:rFonts w:hint="default" w:ascii="宋体" w:hAnsi="宋体" w:eastAsia="宋体" w:cs="Times New Roman"/>
          <w:b w:val="0"/>
          <w:bCs/>
          <w:color w:val="000000"/>
          <w:sz w:val="28"/>
          <w:szCs w:val="28"/>
          <w:highlight w:val="none"/>
          <w:lang w:val="en-US" w:eastAsia="zh-CN"/>
        </w:rPr>
        <w:outlineLvl w:val="0"/>
      </w:pPr>
      <w:r>
        <w:rPr>
          <w:rFonts w:hint="eastAsia" w:ascii="宋体" w:hAnsi="宋体" w:eastAsia="宋体" w:cs="Times New Roman"/>
          <w:b w:val="0"/>
          <w:bCs/>
          <w:color w:val="000000"/>
          <w:sz w:val="28"/>
          <w:szCs w:val="28"/>
          <w:highlight w:val="none"/>
          <w:lang w:val="en-US" w:eastAsia="zh-CN"/>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ind w:firstLine="480"/>
        <w:rPr>
          <w:rFonts w:hint="eastAsia" w:ascii="宋体" w:hAnsi="宋体" w:eastAsia="宋体" w:cs="Times New Roman"/>
          <w:b w:val="0"/>
          <w:bCs/>
          <w:color w:val="000000"/>
          <w:sz w:val="28"/>
          <w:szCs w:val="28"/>
          <w:highlight w:val="none"/>
          <w:lang w:val="en-US" w:eastAsia="zh-CN"/>
        </w:rPr>
        <w:outlineLvl w:val="0"/>
      </w:pPr>
      <w:r>
        <w:rPr>
          <w:rFonts w:hint="eastAsia" w:ascii="宋体" w:hAnsi="宋体" w:eastAsia="宋体" w:cs="Times New Roman"/>
          <w:b w:val="0"/>
          <w:bCs/>
          <w:color w:val="000000"/>
          <w:sz w:val="28"/>
          <w:szCs w:val="28"/>
          <w:highlight w:val="none"/>
          <w:lang w:val="en-US" w:eastAsia="zh-CN"/>
        </w:rPr>
        <w:t xml:space="preserve">（5）表格不够可自行延长，但不得改变文本格式；</w:t>
      </w:r>
      <w:r/>
    </w:p>
    <w:p>
      <w:pPr>
        <w:pStyle w:val="1120"/>
        <w:rPr>
          <w:color w:val="000000"/>
          <w:highlight w:val="none"/>
        </w:rPr>
      </w:pPr>
      <w:r>
        <w:rPr>
          <w:color w:val="000000"/>
          <w:highlight w:val="none"/>
        </w:rPr>
      </w:r>
      <w:r/>
    </w:p>
    <w:p>
      <w:pPr>
        <w:rPr>
          <w:rFonts w:ascii="宋体" w:hAnsi="宋体" w:eastAsia="宋体"/>
          <w:bCs/>
          <w:color w:val="000000"/>
          <w:sz w:val="24"/>
          <w:szCs w:val="24"/>
          <w:highlight w:val="none"/>
        </w:rPr>
        <w:outlineLvl w:val="0"/>
      </w:pPr>
      <w:r>
        <w:rPr>
          <w:rFonts w:ascii="宋体" w:hAnsi="宋体" w:eastAsia="宋体"/>
          <w:bCs/>
          <w:color w:val="000000"/>
          <w:sz w:val="24"/>
          <w:szCs w:val="24"/>
          <w:highlight w:val="none"/>
        </w:rPr>
      </w:r>
      <w:r/>
    </w:p>
    <w:p>
      <w:pPr>
        <w:rPr>
          <w:rFonts w:ascii="宋体" w:hAnsi="宋体" w:eastAsia="宋体"/>
          <w:bCs/>
          <w:color w:val="000000"/>
          <w:sz w:val="24"/>
          <w:szCs w:val="24"/>
          <w:highlight w:val="none"/>
        </w:rPr>
        <w:outlineLvl w:val="0"/>
      </w:pPr>
      <w:r>
        <w:rPr>
          <w:rFonts w:ascii="宋体" w:hAnsi="宋体" w:eastAsia="宋体"/>
          <w:bCs/>
          <w:color w:val="000000"/>
          <w:sz w:val="24"/>
          <w:szCs w:val="24"/>
          <w:highlight w:val="none"/>
        </w:rPr>
      </w:r>
      <w:r/>
    </w:p>
    <w:p>
      <w:pPr>
        <w:ind w:firstLine="42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269"/>
        <w:ind w:firstLine="0"/>
        <w:rPr>
          <w:rFonts w:ascii="宋体" w:hAnsi="宋体"/>
          <w:b/>
          <w:bCs/>
          <w:color w:val="000000"/>
          <w:sz w:val="24"/>
          <w:szCs w:val="24"/>
          <w:highlight w:val="none"/>
        </w:rPr>
      </w:pPr>
      <w:r>
        <w:rPr>
          <w:rFonts w:ascii="宋体" w:hAnsi="宋体"/>
          <w:b/>
          <w:bCs/>
          <w:color w:val="000000"/>
          <w:sz w:val="24"/>
          <w:szCs w:val="24"/>
          <w:highlight w:val="none"/>
        </w:rPr>
      </w:r>
      <w:r/>
    </w:p>
    <w:p>
      <w:pPr>
        <w:jc w:val="left"/>
        <w:pageBreakBefore/>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（九）投标供应商情况表（格式）</w:t>
      </w:r>
      <w:r/>
    </w:p>
    <w:p>
      <w:pPr>
        <w:pStyle w:val="1243"/>
        <w:ind w:firstLine="0"/>
        <w:jc w:val="center"/>
        <w:rPr>
          <w:rFonts w:ascii="宋体"/>
          <w:b/>
          <w:color w:val="000000"/>
          <w:sz w:val="28"/>
          <w:szCs w:val="28"/>
          <w:highlight w:val="none"/>
        </w:rPr>
      </w:pPr>
      <w:r>
        <w:rPr>
          <w:rFonts w:hint="eastAsia" w:ascii="宋体" w:hAnsi="宋体"/>
          <w:b/>
          <w:color w:val="000000"/>
          <w:sz w:val="28"/>
          <w:szCs w:val="28"/>
          <w:highlight w:val="none"/>
        </w:rPr>
        <w:t xml:space="preserve">投标供应商情况表</w:t>
      </w:r>
      <w:r/>
    </w:p>
    <w:p>
      <w:pPr>
        <w:ind w:firstLine="420"/>
        <w:jc w:val="left"/>
        <w:rPr>
          <w:rFonts w:ascii="宋体"/>
          <w:color w:val="000000"/>
          <w:szCs w:val="21"/>
          <w:highlight w:val="none"/>
        </w:rPr>
      </w:pPr>
      <w:r>
        <w:rPr>
          <w:rFonts w:hint="eastAsia" w:ascii="宋体" w:hAnsi="宋体"/>
          <w:color w:val="000000"/>
          <w:szCs w:val="21"/>
          <w:highlight w:val="none"/>
        </w:rPr>
        <w:t xml:space="preserve">单位名称：（公章）</w:t>
      </w:r>
      <w:r/>
    </w:p>
    <w:p>
      <w:pPr>
        <w:ind w:firstLine="420"/>
        <w:jc w:val="center"/>
        <w:rPr>
          <w:rFonts w:ascii="宋体"/>
          <w:color w:val="000000"/>
          <w:highlight w:val="none"/>
        </w:rPr>
      </w:pPr>
      <w:r>
        <w:rPr>
          <w:rFonts w:ascii="宋体"/>
          <w:color w:val="000000"/>
          <w:highlight w:val="none"/>
        </w:rPr>
      </w:r>
      <w:r/>
    </w:p>
    <w:tbl>
      <w:tblPr>
        <w:tblStyle w:val="1031"/>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法定代表人</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成立日期</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03"/>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企业地址</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注册资本</w:t>
            </w:r>
            <w:r/>
          </w:p>
        </w:tc>
        <w:tc>
          <w:tcPr>
            <w:tcW w:w="3216" w:type="dxa"/>
            <w:textDirection w:val="lrTb"/>
            <w:noWrap w:val="false"/>
          </w:tcPr>
          <w:p>
            <w:pPr>
              <w:ind w:firstLine="2160"/>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28"/>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经营范围</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41"/>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开户行</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银行账号</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41"/>
        </w:trPr>
        <w:tc>
          <w:tcPr>
            <w:tcW w:w="2590"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资产总计</w:t>
            </w:r>
            <w:r/>
          </w:p>
        </w:tc>
        <w:tc>
          <w:tcPr>
            <w:tcW w:w="1925"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净资产</w:t>
            </w:r>
            <w:r/>
          </w:p>
        </w:tc>
        <w:tc>
          <w:tcPr>
            <w:tcW w:w="3216"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15"/>
        </w:trPr>
        <w:tc>
          <w:tcPr>
            <w:tcW w:w="2590"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股东权益</w:t>
            </w:r>
            <w:r/>
          </w:p>
        </w:tc>
        <w:tc>
          <w:tcPr>
            <w:tcW w:w="1925"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主营收入</w:t>
            </w:r>
            <w:r/>
          </w:p>
        </w:tc>
        <w:tc>
          <w:tcPr>
            <w:tcW w:w="3216"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5</w:t>
            </w:r>
            <w:r>
              <w:rPr>
                <w:rFonts w:hint="eastAsia" w:ascii="宋体" w:hAnsi="宋体" w:eastAsia="宋体" w:cs="宋体"/>
                <w:color w:val="000000"/>
                <w:sz w:val="22"/>
                <w:szCs w:val="21"/>
                <w:highlight w:val="none"/>
              </w:rPr>
              <w:t xml:space="preserve">年     万元</w:t>
            </w:r>
            <w:r/>
          </w:p>
        </w:tc>
      </w:tr>
      <w:tr>
        <w:trPr>
          <w:cantSplit/>
          <w:jc w:val="center"/>
          <w:trHeight w:val="564"/>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实现利润</w:t>
            </w:r>
            <w:r/>
          </w:p>
        </w:tc>
        <w:tc>
          <w:tcPr>
            <w:tcW w:w="1925" w:type="dxa"/>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5</w:t>
            </w:r>
            <w:r>
              <w:rPr>
                <w:rFonts w:hint="eastAsia" w:ascii="宋体" w:hAnsi="宋体" w:eastAsia="宋体" w:cs="宋体"/>
                <w:color w:val="000000"/>
                <w:sz w:val="22"/>
                <w:szCs w:val="21"/>
                <w:highlight w:val="none"/>
              </w:rPr>
              <w:t xml:space="preserve">年    万元</w:t>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营业面积</w:t>
            </w:r>
            <w:r/>
          </w:p>
        </w:tc>
        <w:tc>
          <w:tcPr>
            <w:tcW w:w="1925"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平方米</w:t>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其中：</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自有面积平方米</w:t>
            </w:r>
            <w:r/>
          </w:p>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承租面积平方米</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单位简历及内设机构情况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703"/>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单位优势及特长</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近三年来完成或正在履行的重大合同情况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最近2年内在经营过程中受到何种奖励或处分</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最近3年内有无因售假、售劣或是其他原因被消费者投诉或起诉的情况及说明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（包括解决方式和结果）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获得技术认证的工程师及简介</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947"/>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其他需要说明的情况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bl>
    <w:p>
      <w:pPr>
        <w:jc w:val="left"/>
        <w:rPr>
          <w:rFonts w:ascii="宋体"/>
          <w:color w:val="000000"/>
          <w:highlight w:val="none"/>
        </w:rPr>
      </w:pPr>
      <w:r>
        <w:rPr>
          <w:rFonts w:ascii="宋体"/>
          <w:color w:val="000000"/>
          <w:highlight w:val="none"/>
        </w:rPr>
      </w:r>
      <w:r/>
    </w:p>
    <w:p>
      <w:pPr>
        <w:pStyle w:val="1269"/>
        <w:rPr>
          <w:rFonts w:ascii="宋体" w:hAnsi="宋体"/>
          <w:b/>
          <w:bCs/>
          <w:color w:val="000000"/>
          <w:sz w:val="24"/>
          <w:szCs w:val="24"/>
          <w:highlight w:val="none"/>
        </w:rPr>
      </w:pPr>
      <w:r>
        <w:rPr>
          <w:rFonts w:ascii="宋体" w:hAnsi="宋体"/>
          <w:b/>
          <w:bCs/>
          <w:color w:val="000000"/>
          <w:sz w:val="24"/>
          <w:szCs w:val="24"/>
          <w:highlight w:val="none"/>
        </w:rPr>
      </w:r>
      <w:r/>
    </w:p>
    <w:p>
      <w:pPr>
        <w:pStyle w:val="1269"/>
        <w:rPr>
          <w:rFonts w:ascii="宋体" w:hAnsi="宋体"/>
          <w:b/>
          <w:bCs/>
          <w:color w:val="000000"/>
          <w:sz w:val="24"/>
          <w:szCs w:val="24"/>
          <w:highlight w:val="none"/>
        </w:rPr>
      </w:pPr>
      <w:r>
        <w:rPr>
          <w:rFonts w:ascii="宋体" w:hAnsi="宋体"/>
          <w:b/>
          <w:bCs/>
          <w:color w:val="000000"/>
          <w:sz w:val="24"/>
          <w:szCs w:val="24"/>
          <w:highlight w:val="none"/>
        </w:rPr>
      </w:r>
      <w:r/>
    </w:p>
    <w:p>
      <w:pPr>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sectPr>
          <w:headerReference w:type="default" r:id="rId14"/>
          <w:headerReference w:type="first" r:id="rId15"/>
          <w:footerReference w:type="default" r:id="rId21"/>
          <w:footerReference w:type="first" r:id="rId22"/>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黑体" w:hAnsi="宋体" w:eastAsia="黑体"/>
          <w:bCs/>
          <w:color w:val="000000"/>
          <w:sz w:val="24"/>
          <w:szCs w:val="24"/>
          <w:highlight w:val="none"/>
        </w:rPr>
      </w:r>
      <w:r/>
    </w:p>
    <w:p>
      <w:pPr>
        <w:pStyle w:val="1241"/>
        <w:spacing w:before="160" w:after="160"/>
        <w:rPr>
          <w:rFonts w:hint="eastAsia" w:ascii="宋体" w:hAnsi="宋体" w:eastAsia="宋体" w:cs="宋体"/>
          <w:b w:val="0"/>
          <w:color w:val="000000" w:themeColor="text1"/>
          <w:sz w:val="24"/>
          <w:highlight w:val="none"/>
          <w14:textFill>
            <w14:solidFill>
              <w14:schemeClr w14:val="tx1"/>
            </w14:solidFill>
          </w14:textFill>
        </w:rPr>
      </w:pPr>
      <w:r/>
      <w:bookmarkStart w:id="30" w:name="_Toc112006946"/>
      <w:r>
        <w:rPr>
          <w:rFonts w:hint="eastAsia" w:ascii="宋体" w:hAnsi="宋体" w:eastAsia="宋体" w:cs="宋体"/>
          <w:b w:val="0"/>
          <w:color w:val="000000" w:themeColor="text1"/>
          <w:sz w:val="24"/>
          <w:highlight w:val="none"/>
          <w14:textFill>
            <w14:solidFill>
              <w14:schemeClr w14:val="tx1"/>
            </w14:solidFill>
          </w14:textFill>
        </w:rPr>
        <w:t xml:space="preserve">（十）（供应商）中小企业声明函（格式）</w:t>
      </w:r>
      <w:bookmarkEnd w:id="30"/>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36"/>
          <w:highlight w:val="none"/>
          <w14:textFill>
            <w14:solidFill>
              <w14:schemeClr w14:val="tx1"/>
            </w14:solidFill>
          </w14:textFill>
        </w:rPr>
        <w:t xml:space="preserve">中小企业声明函（货物）</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本公司（联合体）郑重声明，根据《政府采购促进中小企业发展管理办法》（财库﹝2020﹞46 号）的规定，本公司</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参加</w:t>
      </w:r>
      <w:r>
        <w:rPr>
          <w:rFonts w:hint="eastAsia" w:ascii="宋体" w:hAnsi="宋体" w:eastAsia="宋体" w:cs="宋体"/>
          <w:i/>
          <w:color w:val="000000" w:themeColor="text1"/>
          <w:sz w:val="24"/>
          <w:highlight w:val="none"/>
          <w:u w:val="single"/>
          <w:lang w:bidi="ar"/>
          <w14:textFill>
            <w14:solidFill>
              <w14:schemeClr w14:val="tx1"/>
            </w14:solidFill>
          </w14:textFill>
        </w:rPr>
        <w:t xml:space="preserve">（单位名称）</w:t>
      </w:r>
      <w:r>
        <w:rPr>
          <w:rFonts w:hint="eastAsia" w:ascii="宋体" w:hAnsi="宋体" w:eastAsia="宋体" w:cs="宋体"/>
          <w:color w:val="000000" w:themeColor="text1"/>
          <w:sz w:val="24"/>
          <w:highlight w:val="none"/>
          <w:lang w:bidi="ar"/>
          <w14:textFill>
            <w14:solidFill>
              <w14:schemeClr w14:val="tx1"/>
            </w14:solidFill>
          </w14:textFill>
        </w:rPr>
        <w:t xml:space="preserve">的</w:t>
      </w:r>
      <w:r>
        <w:rPr>
          <w:rFonts w:hint="eastAsia" w:ascii="宋体" w:hAnsi="宋体" w:eastAsia="宋体" w:cs="宋体"/>
          <w:i/>
          <w:color w:val="000000" w:themeColor="text1"/>
          <w:sz w:val="24"/>
          <w:highlight w:val="none"/>
          <w:u w:val="single"/>
          <w:lang w:bidi="ar"/>
          <w14:textFill>
            <w14:solidFill>
              <w14:schemeClr w14:val="tx1"/>
            </w14:solidFill>
          </w14:textFill>
        </w:rPr>
        <w:t xml:space="preserve">（项目名称）</w:t>
      </w:r>
      <w:r>
        <w:rPr>
          <w:rFonts w:hint="eastAsia" w:ascii="宋体" w:hAnsi="宋体" w:eastAsia="宋体" w:cs="宋体"/>
          <w:color w:val="000000" w:themeColor="text1"/>
          <w:sz w:val="24"/>
          <w:highlight w:val="none"/>
          <w:lang w:bidi="ar"/>
          <w14:textFill>
            <w14:solidFill>
              <w14:schemeClr w14:val="tx1"/>
            </w14:solidFill>
          </w14:textFill>
        </w:rPr>
        <w:t xml:space="preserve">采购活动，</w:t>
      </w:r>
      <w:r>
        <w:rPr>
          <w:rFonts w:hint="eastAsia" w:ascii="宋体" w:hAnsi="宋体" w:eastAsia="宋体" w:cs="宋体"/>
          <w:color w:val="000000" w:themeColor="text1"/>
          <w:sz w:val="24"/>
          <w:highlight w:val="none"/>
          <w14:textFill>
            <w14:solidFill>
              <w14:schemeClr w14:val="tx1"/>
            </w14:solidFill>
          </w14:textFill>
        </w:rPr>
        <w:t xml:space="preserve">提供的货物全部由符合政策要求的中小企业制造。企业的具体情况如下</w:t>
      </w:r>
      <w:r>
        <w:rPr>
          <w:rFonts w:hint="eastAsia" w:ascii="宋体" w:hAnsi="宋体" w:eastAsia="宋体" w:cs="宋体"/>
          <w:color w:val="000000" w:themeColor="text1"/>
          <w:sz w:val="24"/>
          <w:highlight w:val="none"/>
          <w:lang w:bidi="ar"/>
          <w14:textFill>
            <w14:solidFill>
              <w14:schemeClr w14:val="tx1"/>
            </w14:solidFill>
          </w14:textFill>
        </w:rPr>
        <w:t xml:space="preserve">：</w:t>
      </w:r>
      <w:r/>
    </w:p>
    <w:p>
      <w:pPr>
        <w:numPr>
          <w:ilvl w:val="0"/>
          <w:numId w:val="10"/>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（企业名称），从业人员</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 ，属于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（中型企业、小型企业、微型企业）；</w:t>
      </w:r>
      <w:r/>
    </w:p>
    <w:p>
      <w:pPr>
        <w:numPr>
          <w:ilvl w:val="0"/>
          <w:numId w:val="10"/>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（企业名称），从业人员</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 ，属于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（中型企业、小型企业、微型企业）；</w:t>
      </w:r>
      <w:r/>
    </w:p>
    <w:p>
      <w:pPr>
        <w:numPr>
          <w:ilvl w:val="0"/>
          <w:numId w:val="10"/>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pStyle w:val="1037"/>
        <w:spacing w:line="360" w:lineRule="auto"/>
        <w:rPr>
          <w:rFonts w:hint="eastAsia"/>
          <w:color w:val="000000" w:themeColor="text1"/>
          <w:szCs w:val="22"/>
          <w:highlight w:val="none"/>
          <w:lang w:eastAsia="zh-CN" w:bidi="ar"/>
          <w14:textFill>
            <w14:solidFill>
              <w14:schemeClr w14:val="tx1"/>
            </w14:solidFill>
          </w14:textFill>
        </w:rPr>
      </w:pPr>
      <w:r>
        <w:rPr>
          <w:rFonts w:hint="eastAsia"/>
          <w:color w:val="000000" w:themeColor="text1"/>
          <w:szCs w:val="22"/>
          <w:highlight w:val="none"/>
          <w:lang w:eastAsia="zh-CN" w:bidi="ar"/>
          <w14:textFill>
            <w14:solidFill>
              <w14:schemeClr w14:val="tx1"/>
            </w14:solidFill>
          </w14:textFill>
        </w:rPr>
        <w:t xml:space="preserve">（企业名称），从业人员</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人，营业收入为</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万元，资产总额为</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万元 ，属于</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（中型企业、小型企业、微型企业）；</w:t>
      </w:r>
      <w:r/>
    </w:p>
    <w:p>
      <w:pPr>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w:t>
      </w:r>
      <w:r/>
    </w:p>
    <w:p>
      <w:pPr>
        <w:ind w:firstLine="48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本企业对上述声明内容的真实性负责。如有虚假，将依法承担相 应责任。  </w:t>
      </w:r>
      <w:r/>
    </w:p>
    <w:p>
      <w:pPr>
        <w:ind w:firstLine="576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r>
      <w:r/>
    </w:p>
    <w:p>
      <w:pPr>
        <w:ind w:firstLine="576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企业名称（盖章）： </w:t>
      </w:r>
      <w:r/>
    </w:p>
    <w:p>
      <w:pPr>
        <w:ind w:firstLine="672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日    期：</w:t>
      </w:r>
      <w:r/>
    </w:p>
    <w:p>
      <w:pPr>
        <w:pStyle w:val="1089"/>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说明： </w:t>
      </w:r>
      <w:r/>
    </w:p>
    <w:p>
      <w:pPr>
        <w:numPr>
          <w:ilvl w:val="0"/>
          <w:numId w:val="11"/>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根据本《中小企业声明函》类型，项目属性为货物类的，项目技术要求中如对本项目货物标的及其所属行业进行逐一列明的，投标人须根据项目技术要求中所列明的标的及其所属行业</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逐一进行填报</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（2）从业人员、营业收入、资产总额填报上一年度数据，无上一年度数据的新成立企业可不填报。</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keepLines w:val="0"/>
        <w:keepNext w:val="0"/>
        <w:pageBreakBefore w:val="0"/>
        <w:spacing w:line="360" w:lineRule="auto"/>
        <w:widowControl w:val="off"/>
        <w:rPr>
          <w:rFonts w:hint="eastAsia" w:ascii="黑体" w:hAnsi="宋体" w:eastAsia="黑体"/>
          <w:bCs/>
          <w:color w:val="000000"/>
          <w:sz w:val="24"/>
          <w:szCs w:val="24"/>
          <w:highlight w: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货物类项目涉及多个采购标的，供应商应当根据每个采购标的所属行业的划型标准，判断所有标的制造商是否属于中小企业，然后根据招标文件“项目要求和有关说明”中明确的采购标的逐项声明，不得多填。漏填标的、填写的制造商名称与报价明细表不一致、未按采购标的逐项声明等情形，可能会导致《中小企业声明函》被作无效处理，由此带来的后果由供应商自行承担。</w:t>
      </w:r>
      <w:r/>
    </w:p>
    <w:p>
      <w:pPr>
        <w:pStyle w:val="1241"/>
        <w:spacing w:before="160" w:after="160"/>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highlight w:val="none"/>
          <w14:textFill>
            <w14:solidFill>
              <w14:schemeClr w14:val="tx1"/>
            </w14:solidFill>
          </w14:textFill>
        </w:rPr>
        <w:t xml:space="preserve">（十一）（供应商）残疾人福利性单位声明函（格式）：</w:t>
      </w:r>
      <w:r/>
    </w:p>
    <w:p>
      <w:pPr>
        <w:spacing w:line="588" w:lineRule="exact"/>
        <w:rPr>
          <w:rFonts w:hint="eastAsia" w:ascii="宋体" w:hAnsi="宋体" w:eastAsia="宋体" w:cs="宋体"/>
          <w:b/>
          <w:color w:val="000000" w:themeColor="text1"/>
          <w:spacing w:val="6"/>
          <w:sz w:val="30"/>
          <w:szCs w:val="30"/>
          <w:highlight w:val="none"/>
          <w14:textFill>
            <w14:solidFill>
              <w14:schemeClr w14:val="tx1"/>
            </w14:solidFill>
          </w14:textFill>
        </w:rPr>
      </w:pPr>
      <w:r>
        <w:rPr>
          <w:rFonts w:hint="eastAsia" w:ascii="宋体" w:hAnsi="宋体" w:eastAsia="宋体" w:cs="宋体"/>
          <w:b/>
          <w:color w:val="000000" w:themeColor="text1"/>
          <w:spacing w:val="6"/>
          <w:sz w:val="30"/>
          <w:szCs w:val="30"/>
          <w:highlight w:val="none"/>
          <w14:textFill>
            <w14:solidFill>
              <w14:schemeClr w14:val="tx1"/>
            </w14:solidFill>
          </w14:textFill>
        </w:rPr>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残疾人福利性单位声明函</w:t>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〔2017〕141号</w:t>
      </w:r>
      <w:r>
        <w:rPr>
          <w:rFonts w:hint="eastAsia" w:ascii="宋体" w:hAnsi="宋体" w:eastAsia="宋体" w:cs="宋体"/>
          <w:bCs/>
          <w:color w:val="000000" w:themeColor="text1"/>
          <w:sz w:val="24"/>
          <w:szCs w:val="24"/>
          <w:highlight w:val="none"/>
          <w14:textFill>
            <w14:solidFill>
              <w14:schemeClr w14:val="tx1"/>
            </w14:solidFill>
          </w14:textFill>
        </w:rPr>
        <w:t xml:space="preserve">）的规定，本单位为符合条件的残疾人福利性单位，且本单位参加 </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单位的</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14:textFill>
            <w14:solidFill>
              <w14:schemeClr w14:val="tx1"/>
            </w14:solidFill>
          </w14:textFill>
        </w:rPr>
        <w:t xml:space="preserve">项目</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  期：</w:t>
      </w:r>
      <w:r/>
    </w:p>
    <w:p>
      <w:pPr>
        <w:jc w:val="left"/>
        <w:rPr>
          <w:rFonts w:hint="eastAsia" w:ascii="黑体" w:hAnsi="宋体" w:eastAsia="黑体"/>
          <w:bCs/>
          <w:color w:val="000000"/>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lang w:eastAsia="zh-CN"/>
        </w:rPr>
      </w:pPr>
      <w:r>
        <w:rPr>
          <w:rFonts w:hint="eastAsia" w:ascii="黑体" w:hAnsi="宋体" w:eastAsia="黑体"/>
          <w:bCs/>
          <w:color w:val="000000"/>
          <w:sz w:val="24"/>
          <w:szCs w:val="24"/>
          <w:lang w:eastAsia="zh-CN"/>
        </w:rPr>
        <w:t xml:space="preserve">（</w:t>
      </w:r>
      <w:r>
        <w:rPr>
          <w:rFonts w:hint="eastAsia" w:ascii="黑体" w:hAnsi="宋体" w:eastAsia="黑体"/>
          <w:bCs/>
          <w:color w:val="000000"/>
          <w:sz w:val="24"/>
          <w:szCs w:val="24"/>
        </w:rPr>
        <w:t xml:space="preserve">十二）关于符合本国产品标准的声明函（格式）</w:t>
      </w:r>
      <w:r>
        <w:rPr>
          <w:rFonts w:hint="eastAsia" w:ascii="黑体" w:hAnsi="宋体" w:eastAsia="黑体"/>
          <w:bCs/>
          <w:color w:val="000000"/>
          <w:sz w:val="24"/>
          <w:szCs w:val="24"/>
          <w:lang w:eastAsia="zh-CN"/>
        </w:rPr>
        <w:t xml:space="preserve">：</w:t>
      </w:r>
      <w:r/>
    </w:p>
    <w:p>
      <w:pPr>
        <w:jc w:val="left"/>
        <w:rPr>
          <w:rFonts w:ascii="黑体" w:hAnsi="宋体" w:eastAsia="黑体"/>
          <w:bCs/>
          <w:color w:val="000000"/>
          <w:sz w:val="24"/>
          <w:szCs w:val="24"/>
        </w:rPr>
      </w:pPr>
      <w:r>
        <w:rPr>
          <w:rFonts w:ascii="黑体" w:hAnsi="宋体" w:eastAsia="黑体"/>
          <w:bCs/>
          <w:color w:val="000000"/>
          <w:sz w:val="24"/>
          <w:szCs w:val="24"/>
        </w:rPr>
      </w:r>
      <w:r/>
    </w:p>
    <w:p>
      <w:pPr>
        <w:ind w:left="0" w:right="0" w:firstLine="2711"/>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333333"/>
          <w:sz w:val="30"/>
          <w:highlight w:val="white"/>
        </w:rPr>
        <w:t xml:space="preserve">关于符合本国产品标准的声明函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1.（产品名称1）</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，生产厂为（厂名）</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，厂址为（生产厂址）。（</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）的中国境内生产的组件成本占比≥（</w:t>
      </w:r>
      <w:r>
        <w:rPr>
          <w:rFonts w:hint="eastAsia" w:ascii="宋体" w:hAnsi="宋体" w:eastAsia="宋体" w:cs="宋体"/>
          <w:bCs/>
          <w:strike/>
          <w:color w:val="000000" w:themeColor="text1"/>
          <w:sz w:val="24"/>
          <w:szCs w:val="24"/>
          <w:highlight w:val="none"/>
          <w14:textFill>
            <w14:solidFill>
              <w14:schemeClr w14:val="tx1"/>
            </w14:solidFill>
          </w14:textFill>
        </w:rPr>
        <w:t xml:space="preserve">规定比例</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关键组件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在中国境内生产。（</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关键工序</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在中国境内完成。</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2.（产品名称2），生产厂为（厂名），厂址为（生产厂址）。（</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）的中国境内生产的组件成本占比≥（</w:t>
      </w:r>
      <w:r>
        <w:rPr>
          <w:rFonts w:hint="eastAsia" w:ascii="宋体" w:hAnsi="宋体" w:eastAsia="宋体" w:cs="宋体"/>
          <w:bCs/>
          <w:strike/>
          <w:color w:val="000000" w:themeColor="text1"/>
          <w:sz w:val="24"/>
          <w:szCs w:val="24"/>
          <w:highlight w:val="none"/>
          <w14:textFill>
            <w14:solidFill>
              <w14:schemeClr w14:val="tx1"/>
            </w14:solidFill>
          </w14:textFill>
        </w:rPr>
        <w:t xml:space="preserve">规定比例</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关键组件</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）在中国境内生产。（</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关键工序</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）在中国境内完成。</w:t>
      </w:r>
      <w:r/>
    </w:p>
    <w:p>
      <w:pPr>
        <w:ind w:left="0" w:right="0" w:firstLine="42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880"/>
        <w:jc w:val="both"/>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公司（单位）名称（加盖CA电子公章）：　</w:t>
      </w:r>
      <w:r/>
    </w:p>
    <w:p>
      <w:pPr>
        <w:ind w:left="0" w:right="0" w:firstLine="0"/>
        <w:jc w:val="center"/>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rFonts w:hint="eastAsia" w:ascii="宋体" w:hAnsi="宋体" w:eastAsia="宋体" w:cs="宋体"/>
          <w:color w:val="000000"/>
          <w:sz w:val="24"/>
          <w:highlight w:val="white"/>
          <w:lang w:val="en-US" w:eastAsia="zh-CN"/>
        </w:rPr>
        <w:t xml:space="preserve">                      </w:t>
      </w:r>
      <w:r>
        <w:rPr>
          <w:rFonts w:ascii="宋体" w:hAnsi="宋体" w:eastAsia="宋体" w:cs="宋体"/>
          <w:color w:val="000000"/>
          <w:sz w:val="24"/>
          <w:highlight w:val="white"/>
        </w:rPr>
        <w:t xml:space="preserve">日期：　     年　  月　  日         </w:t>
      </w:r>
      <w:r/>
    </w:p>
    <w:p>
      <w:pPr>
        <w:ind w:left="0" w:right="0" w:firstLine="0"/>
        <w:spacing w:before="30" w:after="30"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0"/>
        <w:spacing w:before="30" w:after="30" w:line="360" w:lineRule="auto"/>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w:t>
      </w:r>
      <w:r>
        <w:rPr>
          <w:rFonts w:hint="eastAsia" w:ascii="宋体" w:hAnsi="宋体" w:eastAsia="宋体" w:cs="宋体"/>
          <w:color w:val="000000"/>
          <w:sz w:val="24"/>
          <w:highlight w:val="white"/>
        </w:rPr>
        <w:t xml:space="preserve">划删除线的地方无需填写。</w:t>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w:t>
      </w:r>
      <w:r>
        <w:rPr>
          <w:rFonts w:hint="eastAsia" w:ascii="黑体" w:hAnsi="宋体" w:eastAsia="黑体"/>
          <w:bCs/>
          <w:color w:val="000000"/>
          <w:sz w:val="24"/>
          <w:szCs w:val="24"/>
          <w:highlight w:val="none"/>
          <w:lang w:val="en-US" w:eastAsia="zh-CN"/>
        </w:rPr>
        <w:t xml:space="preserve">二</w:t>
      </w:r>
      <w:r>
        <w:rPr>
          <w:rFonts w:hint="eastAsia" w:ascii="黑体" w:hAnsi="宋体" w:eastAsia="黑体"/>
          <w:bCs/>
          <w:color w:val="000000"/>
          <w:sz w:val="24"/>
          <w:szCs w:val="24"/>
          <w:highlight w:val="none"/>
        </w:rPr>
        <w:t xml:space="preserve">）服务方案（格式）</w:t>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供应商应按评分标准中的顺序编制完整的服务方案，以便评审。</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spacing w:line="360" w:lineRule="auto"/>
        <w:rPr>
          <w:rFonts w:ascii="宋体" w:hAnsi="宋体"/>
          <w:bCs/>
          <w:color w:val="000000"/>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ascii="宋体" w:hAnsi="宋体"/>
          <w:bCs/>
          <w:color w:val="000000"/>
          <w:sz w:val="24"/>
          <w:szCs w:val="24"/>
          <w:highlight w:val="none"/>
        </w:rPr>
      </w:r>
      <w:r/>
    </w:p>
    <w:p>
      <w:pPr>
        <w:pStyle w:val="1241"/>
        <w:spacing w:before="160" w:after="160"/>
        <w:rPr>
          <w:b w:val="0"/>
          <w:color w:val="000000"/>
          <w:sz w:val="24"/>
          <w:highlight w:val="none"/>
        </w:rPr>
      </w:pPr>
      <w:r/>
      <w:bookmarkStart w:id="31" w:name="_Toc112006949"/>
      <w:r>
        <w:rPr>
          <w:rFonts w:hint="eastAsia"/>
          <w:b w:val="0"/>
          <w:color w:val="000000"/>
          <w:sz w:val="24"/>
          <w:highlight w:val="none"/>
        </w:rPr>
        <w:t xml:space="preserve">（十</w:t>
      </w:r>
      <w:r>
        <w:rPr>
          <w:rFonts w:hint="eastAsia"/>
          <w:b w:val="0"/>
          <w:color w:val="000000"/>
          <w:sz w:val="24"/>
          <w:highlight w:val="none"/>
          <w:lang w:val="en-US" w:eastAsia="zh-CN"/>
        </w:rPr>
        <w:t xml:space="preserve">三</w:t>
      </w:r>
      <w:r>
        <w:rPr>
          <w:rFonts w:hint="eastAsia"/>
          <w:b w:val="0"/>
          <w:color w:val="000000"/>
          <w:sz w:val="24"/>
          <w:highlight w:val="none"/>
        </w:rPr>
        <w:t xml:space="preserve">）（供应商）其他材料</w:t>
      </w:r>
      <w:bookmarkEnd w:id="31"/>
      <w:r>
        <w:rPr>
          <w:rFonts w:hint="eastAsia"/>
          <w:b w:val="0"/>
          <w:color w:val="000000"/>
          <w:sz w:val="24"/>
          <w:highlight w:val="none"/>
        </w:rPr>
        <w:t xml:space="preserve">：</w:t>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供应商认为有必要提供的声明和文件，如有自拟并自行添加</w:t>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ind w:firstLine="44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供应商名称(公章)：</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法定代表人或授权委托人(签字)：</w:t>
      </w:r>
      <w:r/>
    </w:p>
    <w:p>
      <w:pPr>
        <w:jc w:val="center"/>
        <w:spacing w:line="360" w:lineRule="auto"/>
        <w:rPr>
          <w:b/>
          <w:bCs/>
          <w:color w:val="000000"/>
          <w:sz w:val="24"/>
          <w:szCs w:val="24"/>
          <w:highlight w:val="none"/>
        </w:rPr>
      </w:pPr>
      <w:r>
        <w:rPr>
          <w:rFonts w:hint="eastAsia" w:ascii="宋体" w:hAnsi="宋体" w:cs="宋体"/>
          <w:color w:val="000000"/>
          <w:sz w:val="24"/>
          <w:szCs w:val="24"/>
          <w:highlight w:val="none"/>
        </w:rPr>
        <w:t xml:space="preserve">                             日期：     年    月   日</w:t>
      </w:r>
      <w:r/>
    </w:p>
    <w:p>
      <w:pPr>
        <w:rPr>
          <w:color w:val="000000"/>
          <w:highlight w:val="none"/>
        </w:rPr>
      </w:pPr>
      <w:r>
        <w:rPr>
          <w:color w:val="000000"/>
          <w:highlight w:val="none"/>
        </w:rPr>
      </w:r>
      <w:r/>
    </w:p>
    <w:p>
      <w:pPr>
        <w:rPr>
          <w:color w:val="000000"/>
          <w:highlight w:val="none"/>
        </w:rPr>
      </w:pPr>
      <w:r>
        <w:rPr>
          <w:color w:val="000000"/>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Symbol">
    <w:panose1 w:val="05050102010706020507"/>
  </w:font>
  <w:font w:name="PMingLiU">
    <w:panose1 w:val="02020500000000000000"/>
  </w:font>
  <w:font w:name="华文细黑">
    <w:panose1 w:val="02010600040101010101"/>
  </w:font>
  <w:font w:name="Tahoma">
    <w:panose1 w:val="020B0604030504040204"/>
  </w:font>
  <w:font w:name="Wingdings 2">
    <w:panose1 w:val="05020102010507070707"/>
  </w:font>
  <w:font w:name="楷体_GB2312">
    <w:panose1 w:val="02010609060101010101"/>
  </w:font>
  <w:font w:name="MicrosoftYaHei-Identity-H">
    <w:panose1 w:val="020B0503020204020204"/>
  </w:font>
  <w:font w:name="Cambria">
    <w:panose1 w:val="02040503050406030204"/>
  </w:font>
  <w:font w:name="Verdana">
    <w:panose1 w:val="020B0604030504040204"/>
  </w:font>
  <w:font w:name="仿宋_GB2312">
    <w:panose1 w:val="02010609060101010101"/>
  </w:font>
  <w:font w:name="华文中宋">
    <w:panose1 w:val="02010600040101010101"/>
  </w:font>
  <w:font w:name="DengXian">
    <w:panose1 w:val="02010600030101010101"/>
  </w:font>
  <w:font w:name="黑体">
    <w:panose1 w:val="02010609060101010101"/>
  </w:font>
  <w:font w:name="Wingdings">
    <w:panose1 w:val="05000000000000000000"/>
  </w:font>
  <w:font w:name="华文楷体">
    <w:panose1 w:val="02010600040101010101"/>
  </w:font>
  <w:font w:name="Courier New">
    <w:panose1 w:val="02070309020205020404"/>
  </w:font>
  <w:font w:name="MS Sans Serif">
    <w:panose1 w:val="020B0503020202020204"/>
  </w:font>
  <w:font w:name="文鼎小标宋简">
    <w:panose1 w:val="020B0503020202020204"/>
  </w:font>
  <w:font w:name="Calibri">
    <w:panose1 w:val="020F0502020204030204"/>
  </w:font>
  <w:font w:name="微软雅黑">
    <w:panose1 w:val="020B0503020204020204"/>
  </w:font>
  <w:font w:name="Microsoft YaHei UI">
    <w:panose1 w:val="020B0503020204020204"/>
  </w:font>
  <w:font w:name="Arial">
    <w:panose1 w:val="020B0604020202020204"/>
  </w:font>
  <w:font w:name="等线">
    <w:panose1 w:val="02010600030101010101"/>
  </w:font>
  <w:font w:name="等线 Light">
    <w:panose1 w:val="02010600030101010101"/>
  </w:font>
  <w:font w:name="仿宋">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spacing w:line="217" w:lineRule="auto"/>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6"/>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6"/>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6"/>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6"/>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6"/>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286"/>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6"/>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6"/>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6"/>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4" o:spid="_x0000_s4"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6"/>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6"/>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286"/>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6"/>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6"/>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6"/>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6"/>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8"/>
      <w:jc w:val="both"/>
      <w:rPr>
        <w:rFonts w:hint="eastAsia" w:ascii="宋体" w:hAnsi="宋体" w:eastAsia="宋体" w:cs="宋体"/>
        <w:sz w:val="15"/>
        <w:szCs w:val="15"/>
      </w:rPr>
    </w:pPr>
    <w:r>
      <w:rPr>
        <w:rFonts w:hint="eastAsia" w:eastAsia="楷体_GB2312"/>
        <w:sz w:val="21"/>
        <w:lang w:eastAsia="zh-CN"/>
      </w:rPr>
      <w:t xml:space="preserve">JSZC-320205-JZCG-G2026-0024</w:t>
    </w:r>
    <w:r>
      <w:rPr>
        <w:rFonts w:hint="eastAsia" w:ascii="宋体" w:hAnsi="宋体" w:eastAsia="宋体" w:cs="宋体"/>
        <w:sz w:val="18"/>
        <w:szCs w:val="18"/>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rPr>
      <w:t xml:space="preserve">无锡市公共资源交易中心锡山分中心</w:t>
    </w:r>
    <w:r/>
  </w:p>
  <w:p>
    <w:pPr>
      <w:pStyle w:val="1047"/>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rPr>
        <w:rFonts w:ascii="Times New Roman" w:hAnsi="Times New Roman" w:eastAsia="楷体_GB2312"/>
        <w:szCs w:val="21"/>
      </w:rPr>
    </w:pPr>
    <w:r>
      <w:rPr>
        <w:rFonts w:ascii="Times New Roman" w:hAnsi="Times New Roman" w:eastAsia="楷体_GB2312"/>
        <w:szCs w:val="21"/>
      </w:rPr>
    </w:r>
    <w:r/>
  </w:p>
  <w:p>
    <w:pPr>
      <w:pStyle w:val="1047"/>
      <w:rPr>
        <w:rFonts w:ascii="Times New Roman" w:hAnsi="Times New Roman" w:eastAsia="楷体_GB2312"/>
        <w:szCs w:val="21"/>
      </w:rPr>
      <w:pBdr>
        <w:bottom w:val="single" w:color="auto" w:sz="4" w:space="0"/>
      </w:pBdr>
    </w:pPr>
    <w:r>
      <w:rPr>
        <w:rFonts w:ascii="Times New Roman" w:hAnsi="Times New Roman" w:eastAsia="楷体_GB2312"/>
        <w:szCs w:val="21"/>
      </w:rPr>
    </w:r>
    <w:r/>
  </w:p>
  <w:p>
    <w:pPr>
      <w:pStyle w:val="1047"/>
      <w:ind w:left="1260" w:hanging="1260"/>
      <w:pBdr>
        <w:bottom w:val="single" w:color="auto" w:sz="4"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tabs>
        <w:tab w:val="center" w:pos="4153" w:leader="none"/>
        <w:tab w:val="clear" w:pos="7143" w:leader="none"/>
        <w:tab w:val="right" w:pos="8306" w:leader="none"/>
        <w:tab w:val="clear" w:pos="14287"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8"/>
      <w:jc w:val="both"/>
      <w:rPr>
        <w:rFonts w:eastAsia="楷体_GB2312"/>
        <w:sz w:val="21"/>
      </w:rPr>
    </w:pPr>
    <w:r>
      <w:rPr>
        <w:rFonts w:eastAsia="楷体_GB2312"/>
        <w:sz w:val="21"/>
      </w:rPr>
    </w:r>
    <w:r/>
  </w:p>
  <w:p>
    <w:pPr>
      <w:pStyle w:val="1288"/>
      <w:jc w:val="both"/>
      <w:rPr>
        <w:rFonts w:hint="eastAsia" w:ascii="宋体" w:hAnsi="宋体" w:eastAsia="宋体" w:cs="宋体"/>
        <w:sz w:val="15"/>
        <w:szCs w:val="15"/>
      </w:rPr>
    </w:pPr>
    <w:r>
      <w:rPr>
        <w:rFonts w:hint="eastAsia" w:eastAsia="楷体_GB2312"/>
        <w:sz w:val="21"/>
        <w:lang w:eastAsia="zh-CN"/>
      </w:rPr>
      <w:t xml:space="preserve">JSZC-320205-JZCG-G2026-0024</w:t>
    </w:r>
    <w:r>
      <w:rPr>
        <w:rFonts w:hint="eastAsia" w:ascii="宋体" w:hAnsi="宋体" w:eastAsia="宋体" w:cs="宋体"/>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 xml:space="preserve">无锡市公共资源交易中心锡山分中心</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8"/>
      <w:jc w:val="both"/>
      <w:rPr>
        <w:rFonts w:hint="eastAsia"/>
      </w:rPr>
    </w:pPr>
    <w:r>
      <w:rPr>
        <w:rFonts w:hint="eastAsia" w:eastAsia="楷体_GB2312"/>
        <w:sz w:val="21"/>
        <w:lang w:eastAsia="zh-CN"/>
      </w:rPr>
      <w:t xml:space="preserve">JSZC-320205-JZCG-G2026-0024</w:t>
    </w:r>
    <w:r>
      <w:rPr>
        <w:rFonts w:hint="eastAsia" w:eastAsia="楷体_GB2312"/>
        <w:sz w:val="22"/>
        <w:szCs w:val="22"/>
      </w:rPr>
      <w:t xml:space="preserve">                      无锡市公共资源交易中心锡山分中心</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8"/>
      <w:jc w:val="left"/>
      <w:rPr>
        <w:rFonts w:eastAsia="楷体_GB2312"/>
        <w:sz w:val="20"/>
      </w:rPr>
    </w:pPr>
    <w:r>
      <w:rPr>
        <w:rFonts w:hint="eastAsia" w:eastAsia="楷体_GB2312"/>
        <w:sz w:val="22"/>
      </w:rPr>
      <w:t xml:space="preserve"> </w:t>
    </w:r>
    <w:r>
      <w:rPr>
        <w:rFonts w:hint="eastAsia" w:eastAsia="楷体_GB2312"/>
        <w:sz w:val="22"/>
        <w:lang w:eastAsia="zh-CN"/>
      </w:rPr>
      <w:t xml:space="preserve">JSZC-320205-JZCG-G2026-0024</w:t>
    </w:r>
    <w:r>
      <w:rPr>
        <w:rFonts w:hint="eastAsia" w:eastAsia="楷体_GB2312"/>
        <w:sz w:val="22"/>
      </w:rPr>
      <w:t xml:space="preserve">                      </w:t>
    </w:r>
    <w:r>
      <w:rPr>
        <w:rFonts w:hint="eastAsia" w:eastAsia="楷体_GB2312"/>
        <w:sz w:val="22"/>
        <w:szCs w:val="21"/>
      </w:rPr>
      <w:t xml:space="preserve">无锡市公共资源交易中心锡山分中心</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8"/>
      <w:jc w:val="both"/>
    </w:pPr>
    <w:r>
      <w:rPr>
        <w:rFonts w:hint="eastAsia" w:eastAsia="楷体_GB2312"/>
        <w:sz w:val="21"/>
        <w:lang w:eastAsia="zh-CN"/>
      </w:rPr>
      <w:t xml:space="preserve">JSZC-320205-JZCG-G2026-0024</w:t>
    </w:r>
    <w:r>
      <w:rPr>
        <w:rFonts w:hint="eastAsia" w:eastAsia="楷体_GB2312"/>
        <w:sz w:val="22"/>
        <w:szCs w:val="22"/>
      </w:rPr>
      <w:t xml:space="preserve">                       无锡市公共资源交易中心锡山分中心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tab"/>
      <w:lvlText w:val="第%1章"/>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pStyle w:val="1692"/>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ind w:left="361"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lvlOverride w:ilvl="0">
      <w:lvl w:ilvl="0">
        <w:start w:val="1"/>
        <w:numFmt w:val="chineseCountingThousand"/>
        <w:isLgl w:val="false"/>
        <w:suff w:val="tab"/>
        <w:lvlText w:val="第%1章"/>
        <w:lvlJc w:val="left"/>
        <w:pPr>
          <w:ind w:left="425" w:hanging="425"/>
          <w:tabs>
            <w:tab w:val="left" w:pos="425" w:leader="none"/>
          </w:tabs>
        </w:pPr>
        <w:rPr>
          <w:rFonts w:hint="eastAsia"/>
        </w:rPr>
      </w:lvl>
    </w:lvlOverride>
    <w:lvlOverride w:ilvl="1">
      <w:lvl w:ilvl="1">
        <w:start w:val="1"/>
        <w:numFmt w:val="decimal"/>
        <w:pStyle w:val="1673"/>
        <w:isLgl w:val="false"/>
        <w:suff w:val="tab"/>
        <w:lvlText w:val="%1.%2."/>
        <w:lvlJc w:val="left"/>
        <w:pPr>
          <w:ind w:left="567" w:hanging="567"/>
          <w:tabs>
            <w:tab w:val="left" w:pos="567" w:leader="none"/>
          </w:tabs>
        </w:pPr>
        <w:rPr>
          <w:rFonts w:hint="eastAsia"/>
        </w:rPr>
      </w:lvl>
    </w:lvlOverride>
    <w:lvlOverride w:ilvl="2">
      <w:lvl w:ilvl="2">
        <w:start w:val="1"/>
        <w:numFmt w:val="decimal"/>
        <w:pStyle w:val="1672"/>
        <w:isLgl w:val="false"/>
        <w:suff w:val="tab"/>
        <w:lvlText w:val="%1.%2.%3."/>
        <w:lvlJc w:val="left"/>
        <w:pPr>
          <w:ind w:left="709" w:hanging="709"/>
          <w:tabs>
            <w:tab w:val="left" w:pos="709" w:leader="none"/>
          </w:tabs>
        </w:pPr>
        <w:rPr>
          <w:rFonts w:hint="eastAsia"/>
        </w:rPr>
      </w:lvl>
    </w:lvlOverride>
    <w:lvlOverride w:ilvl="3">
      <w:lvl w:ilvl="3">
        <w:start w:val="1"/>
        <w:numFmt w:val="decimal"/>
        <w:pStyle w:val="1490"/>
        <w:isLgl w:val="false"/>
        <w:suff w:val="tab"/>
        <w:lvlText w:val="%1.%2.%3.%4."/>
        <w:lvlJc w:val="left"/>
        <w:pPr>
          <w:ind w:left="851" w:hanging="851"/>
          <w:tabs>
            <w:tab w:val="left" w:pos="851" w:leader="none"/>
          </w:tabs>
        </w:pPr>
        <w:rPr>
          <w:rFonts w:hint="eastAsia"/>
        </w:rPr>
      </w:lvl>
    </w:lvlOverride>
    <w:lvlOverride w:ilvl="4">
      <w:lvl w:ilvl="4">
        <w:start w:val="1"/>
        <w:numFmt w:val="decimal"/>
        <w:pStyle w:val="1487"/>
        <w:isLgl w:val="false"/>
        <w:suff w:val="tab"/>
        <w:lvlText w:val="%1.%2.%3.%4.%5."/>
        <w:lvlJc w:val="left"/>
        <w:pPr>
          <w:ind w:left="992" w:hanging="992"/>
          <w:tabs>
            <w:tab w:val="left" w:pos="992" w:leader="none"/>
          </w:tabs>
        </w:pPr>
        <w:rPr>
          <w:rFonts w:hint="eastAsia"/>
        </w:rPr>
      </w:lvl>
    </w:lvlOverride>
    <w:lvlOverride w:ilvl="5">
      <w:lvl w:ilvl="5">
        <w:start w:val="1"/>
        <w:numFmt w:val="decimal"/>
        <w:isLgl w:val="false"/>
        <w:suff w:val="tab"/>
        <w:lvlText w:val="%1.%2.%3.%4.%5.%6."/>
        <w:lvlJc w:val="left"/>
        <w:pPr>
          <w:ind w:left="1134" w:hanging="1134"/>
          <w:tabs>
            <w:tab w:val="left" w:pos="1134" w:leader="none"/>
          </w:tabs>
        </w:pPr>
        <w:rPr>
          <w:rFonts w:hint="eastAsia"/>
        </w:rPr>
      </w:lvl>
    </w:lvlOverride>
    <w:lvlOverride w:ilvl="6">
      <w:lvl w:ilvl="6">
        <w:start w:val="1"/>
        <w:numFmt w:val="decimal"/>
        <w:isLgl w:val="false"/>
        <w:suff w:val="tab"/>
        <w:lvlText w:val="%1.%2.%3.%4.%5.%6.%7."/>
        <w:lvlJc w:val="left"/>
        <w:pPr>
          <w:ind w:left="1276" w:hanging="1276"/>
          <w:tabs>
            <w:tab w:val="left" w:pos="1276" w:leader="none"/>
          </w:tabs>
        </w:pPr>
        <w:rPr>
          <w:rFonts w:hint="eastAsia"/>
        </w:rPr>
      </w:lvl>
    </w:lvlOverride>
    <w:lvlOverride w:ilvl="7">
      <w:lvl w:ilvl="7">
        <w:start w:val="1"/>
        <w:numFmt w:val="decimal"/>
        <w:isLgl w:val="false"/>
        <w:suff w:val="tab"/>
        <w:lvlText w:val="%1.%2.%3.%4.%5.%6.%7.%8."/>
        <w:lvlJc w:val="left"/>
        <w:pPr>
          <w:ind w:left="1418" w:hanging="1418"/>
          <w:tabs>
            <w:tab w:val="left" w:pos="1418" w:leader="none"/>
          </w:tabs>
        </w:pPr>
        <w:rPr>
          <w:rFonts w:hint="eastAsia"/>
        </w:rPr>
      </w:lvl>
    </w:lvlOverride>
    <w:lvlOverride w:ilvl="8">
      <w:lvl w:ilvl="8">
        <w:start w:val="1"/>
        <w:numFmt w:val="decimal"/>
        <w:isLgl w:val="false"/>
        <w:suff w:val="tab"/>
        <w:lvlText w:val="%1.%2.%3.%4.%5.%6.%7.%8.%9."/>
        <w:lvlJc w:val="left"/>
        <w:pPr>
          <w:ind w:left="1559" w:hanging="1559"/>
          <w:tabs>
            <w:tab w:val="left" w:pos="1559" w:leader="none"/>
          </w:tabs>
        </w:pPr>
        <w:rPr>
          <w:rFonts w:hint="eastAsia"/>
        </w:rPr>
      </w:lvl>
    </w:lvlOverride>
  </w:num>
  <w:num w:numId="2">
    <w:abstractNumId w:val="9"/>
  </w:num>
  <w:num w:numId="3">
    <w:abstractNumId w:val="6"/>
  </w:num>
  <w:num w:numId="4">
    <w:abstractNumId w:val="0"/>
  </w:num>
  <w:num w:numId="5">
    <w:abstractNumId w:val="8"/>
  </w:num>
  <w:num w:numId="6">
    <w:abstractNumId w:val="7"/>
  </w:num>
  <w:num w:numId="7">
    <w:abstractNumId w:val="10"/>
  </w:num>
  <w:num w:numId="8">
    <w:abstractNumId w:val="3"/>
  </w:num>
  <w:num w:numId="9">
    <w:abstractNumId w:val="2"/>
  </w:num>
  <w:num w:numId="10">
    <w:abstractNumId w:val="5"/>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20" w:default="1">
    <w:name w:val="Normal"/>
    <w:link w:val="1691"/>
    <w:uiPriority w:val="0"/>
    <w:qFormat/>
    <w:pPr>
      <w:jc w:val="both"/>
      <w:widowControl w:val="off"/>
    </w:pPr>
    <w:rPr>
      <w:rFonts w:hint="default" w:ascii="等线" w:hAnsi="等线" w:eastAsia="等线" w:cs="Times New Roman"/>
      <w:sz w:val="21"/>
      <w:szCs w:val="22"/>
      <w:lang w:val="en-US" w:eastAsia="zh-CN" w:bidi="ar-SA"/>
    </w:rPr>
  </w:style>
  <w:style w:type="paragraph" w:styleId="1021">
    <w:name w:val="Heading 1"/>
    <w:basedOn w:val="1020"/>
    <w:next w:val="1020"/>
    <w:uiPriority w:val="9"/>
    <w:qFormat/>
    <w:pPr>
      <w:keepLines/>
      <w:keepNext/>
      <w:spacing w:before="480" w:after="200"/>
      <w:outlineLvl w:val="0"/>
    </w:pPr>
    <w:rPr>
      <w:rFonts w:ascii="Arial" w:hAnsi="Arial" w:eastAsia="Arial" w:cs="Arial"/>
      <w:sz w:val="40"/>
      <w:szCs w:val="40"/>
    </w:rPr>
  </w:style>
  <w:style w:type="paragraph" w:styleId="1022">
    <w:name w:val="Heading 2"/>
    <w:basedOn w:val="1020"/>
    <w:next w:val="1020"/>
    <w:uiPriority w:val="9"/>
    <w:unhideWhenUsed/>
    <w:qFormat/>
    <w:pPr>
      <w:keepLines/>
      <w:keepNext/>
      <w:spacing w:before="360" w:after="200"/>
      <w:outlineLvl w:val="1"/>
    </w:pPr>
    <w:rPr>
      <w:rFonts w:ascii="Arial" w:hAnsi="Arial" w:eastAsia="Arial" w:cs="Arial"/>
      <w:sz w:val="34"/>
    </w:rPr>
  </w:style>
  <w:style w:type="paragraph" w:styleId="1023">
    <w:name w:val="Heading 3"/>
    <w:basedOn w:val="1020"/>
    <w:next w:val="1020"/>
    <w:uiPriority w:val="9"/>
    <w:unhideWhenUsed/>
    <w:qFormat/>
    <w:pPr>
      <w:keepLines/>
      <w:keepNext/>
      <w:spacing w:before="320" w:after="200"/>
      <w:outlineLvl w:val="2"/>
    </w:pPr>
    <w:rPr>
      <w:rFonts w:ascii="Arial" w:hAnsi="Arial" w:eastAsia="Arial" w:cs="Arial"/>
      <w:sz w:val="30"/>
      <w:szCs w:val="30"/>
    </w:rPr>
  </w:style>
  <w:style w:type="paragraph" w:styleId="1024">
    <w:name w:val="Heading 4"/>
    <w:basedOn w:val="1020"/>
    <w:next w:val="1020"/>
    <w:uiPriority w:val="9"/>
    <w:unhideWhenUsed/>
    <w:qFormat/>
    <w:pPr>
      <w:keepLines/>
      <w:keepNext/>
      <w:spacing w:before="320" w:after="200"/>
      <w:outlineLvl w:val="3"/>
    </w:pPr>
    <w:rPr>
      <w:rFonts w:ascii="Arial" w:hAnsi="Arial" w:eastAsia="Arial" w:cs="Arial"/>
      <w:b/>
      <w:bCs/>
      <w:sz w:val="26"/>
      <w:szCs w:val="26"/>
    </w:rPr>
  </w:style>
  <w:style w:type="paragraph" w:styleId="1025">
    <w:name w:val="Heading 5"/>
    <w:basedOn w:val="1020"/>
    <w:next w:val="1020"/>
    <w:uiPriority w:val="9"/>
    <w:unhideWhenUsed/>
    <w:qFormat/>
    <w:pPr>
      <w:keepLines/>
      <w:keepNext/>
      <w:spacing w:before="320" w:after="200"/>
      <w:outlineLvl w:val="4"/>
    </w:pPr>
    <w:rPr>
      <w:rFonts w:ascii="Arial" w:hAnsi="Arial" w:eastAsia="Arial" w:cs="Arial"/>
      <w:b/>
      <w:bCs/>
      <w:sz w:val="24"/>
      <w:szCs w:val="24"/>
    </w:rPr>
  </w:style>
  <w:style w:type="paragraph" w:styleId="1026">
    <w:name w:val="Heading 6"/>
    <w:basedOn w:val="1020"/>
    <w:next w:val="1020"/>
    <w:link w:val="1121"/>
    <w:uiPriority w:val="9"/>
    <w:unhideWhenUsed/>
    <w:qFormat/>
    <w:pPr>
      <w:keepLines/>
      <w:keepNext/>
      <w:spacing w:before="320" w:after="200"/>
      <w:outlineLvl w:val="5"/>
    </w:pPr>
    <w:rPr>
      <w:rFonts w:ascii="Arial" w:hAnsi="Arial" w:eastAsia="Arial" w:cs="Arial"/>
      <w:b/>
      <w:bCs/>
      <w:sz w:val="22"/>
    </w:rPr>
  </w:style>
  <w:style w:type="paragraph" w:styleId="1027">
    <w:name w:val="Heading 7"/>
    <w:basedOn w:val="1020"/>
    <w:next w:val="1020"/>
    <w:link w:val="1122"/>
    <w:uiPriority w:val="9"/>
    <w:unhideWhenUsed/>
    <w:qFormat/>
    <w:pPr>
      <w:keepLines/>
      <w:keepNext/>
      <w:spacing w:before="320" w:after="200"/>
      <w:outlineLvl w:val="6"/>
    </w:pPr>
    <w:rPr>
      <w:rFonts w:ascii="Arial" w:hAnsi="Arial" w:eastAsia="Arial" w:cs="Arial"/>
      <w:b/>
      <w:bCs/>
      <w:i/>
      <w:iCs/>
      <w:sz w:val="22"/>
    </w:rPr>
  </w:style>
  <w:style w:type="paragraph" w:styleId="1028">
    <w:name w:val="Heading 8"/>
    <w:basedOn w:val="1020"/>
    <w:next w:val="1020"/>
    <w:link w:val="1123"/>
    <w:uiPriority w:val="9"/>
    <w:unhideWhenUsed/>
    <w:qFormat/>
    <w:pPr>
      <w:keepLines/>
      <w:keepNext/>
      <w:spacing w:before="320" w:after="200"/>
      <w:outlineLvl w:val="7"/>
    </w:pPr>
    <w:rPr>
      <w:rFonts w:ascii="Arial" w:hAnsi="Arial" w:eastAsia="Arial" w:cs="Arial"/>
      <w:i/>
      <w:iCs/>
      <w:sz w:val="22"/>
    </w:rPr>
  </w:style>
  <w:style w:type="paragraph" w:styleId="1029">
    <w:name w:val="Heading 9"/>
    <w:basedOn w:val="1020"/>
    <w:next w:val="1020"/>
    <w:link w:val="1124"/>
    <w:uiPriority w:val="9"/>
    <w:unhideWhenUsed/>
    <w:qFormat/>
    <w:pPr>
      <w:keepLines/>
      <w:keepNext/>
      <w:spacing w:before="320" w:after="200"/>
      <w:outlineLvl w:val="8"/>
    </w:pPr>
    <w:rPr>
      <w:rFonts w:ascii="Arial" w:hAnsi="Arial" w:eastAsia="Arial" w:cs="Arial"/>
      <w:i/>
      <w:iCs/>
      <w:szCs w:val="21"/>
    </w:rPr>
  </w:style>
  <w:style w:type="character" w:styleId="1030" w:default="1">
    <w:name w:val="Default Paragraph Font"/>
    <w:uiPriority w:val="1"/>
    <w:semiHidden/>
    <w:unhideWhenUsed/>
    <w:qFormat/>
  </w:style>
  <w:style w:type="table" w:styleId="1031" w:default="1">
    <w:name w:val="Normal Table"/>
    <w:uiPriority w:val="99"/>
    <w:semiHidden/>
    <w:unhideWhenUsed/>
    <w:qFormat/>
    <w:tblPr>
      <w:tblCellMar>
        <w:left w:w="108" w:type="dxa"/>
        <w:top w:w="0" w:type="dxa"/>
        <w:right w:w="108" w:type="dxa"/>
        <w:bottom w:w="0" w:type="dxa"/>
      </w:tblCellMar>
    </w:tblPr>
  </w:style>
  <w:style w:type="paragraph" w:styleId="1032">
    <w:name w:val="toc 7"/>
    <w:basedOn w:val="1020"/>
    <w:next w:val="1020"/>
    <w:uiPriority w:val="39"/>
    <w:unhideWhenUsed/>
    <w:qFormat/>
    <w:pPr>
      <w:ind w:left="1701"/>
      <w:spacing w:after="57"/>
    </w:pPr>
  </w:style>
  <w:style w:type="paragraph" w:styleId="1033">
    <w:name w:val="Normal Indent"/>
    <w:basedOn w:val="1020"/>
    <w:next w:val="1020"/>
    <w:uiPriority w:val="0"/>
    <w:qFormat/>
    <w:pPr>
      <w:ind w:firstLine="420"/>
    </w:pPr>
    <w:rPr>
      <w:szCs w:val="20"/>
    </w:rPr>
  </w:style>
  <w:style w:type="paragraph" w:styleId="1034">
    <w:name w:val="Caption"/>
    <w:basedOn w:val="1020"/>
    <w:next w:val="10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35">
    <w:name w:val="Document Map"/>
    <w:basedOn w:val="1020"/>
    <w:uiPriority w:val="0"/>
    <w:qFormat/>
    <w:pPr>
      <w:shd w:val="clear" w:color="auto" w:fill="000080"/>
    </w:pPr>
    <w:rPr>
      <w:rFonts w:asciiTheme="minorHAnsi" w:hAnsiTheme="minorHAnsi" w:eastAsiaTheme="minorEastAsia" w:cstheme="minorBidi"/>
      <w:szCs w:val="24"/>
      <w:shd w:val="clear" w:color="auto" w:fill="000080"/>
    </w:rPr>
  </w:style>
  <w:style w:type="paragraph" w:styleId="1036">
    <w:name w:val="annotation text"/>
    <w:basedOn w:val="1020"/>
    <w:uiPriority w:val="0"/>
    <w:qFormat/>
    <w:pPr>
      <w:jc w:val="left"/>
      <w:spacing w:line="360" w:lineRule="auto"/>
    </w:pPr>
    <w:rPr>
      <w:rFonts w:ascii="Calibri" w:hAnsi="Calibri" w:eastAsia="微软雅黑"/>
      <w:szCs w:val="24"/>
      <w:lang w:val="zh-CN"/>
    </w:rPr>
  </w:style>
  <w:style w:type="paragraph" w:styleId="1037">
    <w:name w:val="Body Text"/>
    <w:basedOn w:val="1020"/>
    <w:next w:val="1020"/>
    <w:uiPriority w:val="0"/>
    <w:semiHidden/>
    <w:qFormat/>
    <w:rPr>
      <w:rFonts w:ascii="宋体" w:hAnsi="宋体" w:eastAsia="宋体" w:cs="宋体"/>
      <w:sz w:val="24"/>
      <w:szCs w:val="24"/>
      <w:lang w:eastAsia="en-US"/>
    </w:rPr>
  </w:style>
  <w:style w:type="paragraph" w:styleId="1038">
    <w:name w:val="Body Text Indent"/>
    <w:basedOn w:val="1020"/>
    <w:next w:val="1039"/>
    <w:uiPriority w:val="0"/>
    <w:qFormat/>
    <w:pPr>
      <w:ind w:firstLine="540"/>
      <w:spacing w:line="360" w:lineRule="auto"/>
      <w:widowControl/>
    </w:pPr>
    <w:rPr>
      <w:rFonts w:ascii="宋体" w:hAnsi="MS Sans Serif"/>
      <w:spacing w:val="12"/>
      <w:sz w:val="24"/>
    </w:rPr>
  </w:style>
  <w:style w:type="paragraph" w:styleId="1039">
    <w:name w:val="envelope return"/>
    <w:basedOn w:val="1020"/>
    <w:uiPriority w:val="0"/>
    <w:qFormat/>
    <w:rPr>
      <w:rFonts w:ascii="Arial" w:hAnsi="Arial"/>
    </w:rPr>
  </w:style>
  <w:style w:type="paragraph" w:styleId="1040">
    <w:name w:val="index 4"/>
    <w:basedOn w:val="1020"/>
    <w:next w:val="1020"/>
    <w:uiPriority w:val="99"/>
    <w:qFormat/>
    <w:pPr>
      <w:ind w:left="600"/>
    </w:pPr>
    <w:rPr>
      <w:szCs w:val="24"/>
    </w:rPr>
  </w:style>
  <w:style w:type="paragraph" w:styleId="1041">
    <w:name w:val="toc 5"/>
    <w:basedOn w:val="1020"/>
    <w:next w:val="1020"/>
    <w:uiPriority w:val="39"/>
    <w:unhideWhenUsed/>
    <w:qFormat/>
    <w:pPr>
      <w:ind w:left="1134"/>
      <w:spacing w:after="57"/>
    </w:pPr>
  </w:style>
  <w:style w:type="paragraph" w:styleId="1042">
    <w:name w:val="toc 3"/>
    <w:basedOn w:val="1020"/>
    <w:next w:val="1020"/>
    <w:uiPriority w:val="39"/>
    <w:unhideWhenUsed/>
    <w:qFormat/>
    <w:pPr>
      <w:ind w:left="567"/>
      <w:spacing w:after="57"/>
    </w:pPr>
  </w:style>
  <w:style w:type="paragraph" w:styleId="1043">
    <w:name w:val="Plain Text"/>
    <w:basedOn w:val="1020"/>
    <w:uiPriority w:val="0"/>
    <w:qFormat/>
    <w:rPr>
      <w:rFonts w:ascii="宋体" w:hAnsi="Courier New" w:cs="Courier New"/>
      <w:szCs w:val="21"/>
    </w:rPr>
  </w:style>
  <w:style w:type="paragraph" w:styleId="1044">
    <w:name w:val="toc 8"/>
    <w:basedOn w:val="1020"/>
    <w:next w:val="1020"/>
    <w:uiPriority w:val="39"/>
    <w:unhideWhenUsed/>
    <w:qFormat/>
    <w:pPr>
      <w:ind w:left="1984"/>
      <w:spacing w:after="57"/>
    </w:pPr>
  </w:style>
  <w:style w:type="paragraph" w:styleId="1045">
    <w:name w:val="endnote text"/>
    <w:basedOn w:val="1020"/>
    <w:link w:val="1238"/>
    <w:uiPriority w:val="99"/>
    <w:semiHidden/>
    <w:unhideWhenUsed/>
    <w:qFormat/>
    <w:rPr>
      <w:sz w:val="20"/>
    </w:rPr>
  </w:style>
  <w:style w:type="paragraph" w:styleId="1046">
    <w:name w:val="Footer"/>
    <w:basedOn w:val="1020"/>
    <w:next w:val="1020"/>
    <w:link w:val="1131"/>
    <w:uiPriority w:val="99"/>
    <w:unhideWhenUsed/>
    <w:qFormat/>
    <w:pPr>
      <w:tabs>
        <w:tab w:val="center" w:pos="7143" w:leader="none"/>
        <w:tab w:val="right" w:pos="14287" w:leader="none"/>
      </w:tabs>
    </w:pPr>
  </w:style>
  <w:style w:type="paragraph" w:styleId="1047">
    <w:name w:val="Header"/>
    <w:basedOn w:val="1020"/>
    <w:uiPriority w:val="99"/>
    <w:unhideWhenUsed/>
    <w:qFormat/>
    <w:pPr>
      <w:tabs>
        <w:tab w:val="center" w:pos="7143" w:leader="none"/>
        <w:tab w:val="right" w:pos="14287" w:leader="none"/>
      </w:tabs>
    </w:pPr>
  </w:style>
  <w:style w:type="paragraph" w:styleId="1048">
    <w:name w:val="toc 1"/>
    <w:basedOn w:val="1020"/>
    <w:next w:val="1020"/>
    <w:uiPriority w:val="39"/>
    <w:unhideWhenUsed/>
    <w:qFormat/>
    <w:pPr>
      <w:spacing w:after="57"/>
    </w:pPr>
  </w:style>
  <w:style w:type="paragraph" w:styleId="1049">
    <w:name w:val="toc 4"/>
    <w:basedOn w:val="1020"/>
    <w:next w:val="1020"/>
    <w:uiPriority w:val="39"/>
    <w:unhideWhenUsed/>
    <w:qFormat/>
    <w:pPr>
      <w:ind w:left="850"/>
      <w:spacing w:after="57"/>
    </w:pPr>
  </w:style>
  <w:style w:type="paragraph" w:styleId="1050">
    <w:name w:val="Subtitle"/>
    <w:basedOn w:val="1020"/>
    <w:next w:val="1020"/>
    <w:link w:val="1126"/>
    <w:uiPriority w:val="11"/>
    <w:qFormat/>
    <w:pPr>
      <w:spacing w:before="200" w:after="200"/>
    </w:pPr>
    <w:rPr>
      <w:sz w:val="24"/>
      <w:szCs w:val="24"/>
    </w:rPr>
  </w:style>
  <w:style w:type="paragraph" w:styleId="1051">
    <w:name w:val="List"/>
    <w:basedOn w:val="1020"/>
    <w:uiPriority w:val="0"/>
    <w:qFormat/>
    <w:pPr>
      <w:ind w:left="420" w:hanging="420"/>
      <w:spacing w:after="20" w:line="288" w:lineRule="auto"/>
      <w:tabs>
        <w:tab w:val="left" w:pos="420" w:leader="none"/>
      </w:tabs>
    </w:pPr>
    <w:rPr>
      <w:szCs w:val="20"/>
      <w:lang w:val="en-GB"/>
    </w:rPr>
  </w:style>
  <w:style w:type="paragraph" w:styleId="1052">
    <w:name w:val="footnote text"/>
    <w:basedOn w:val="1020"/>
    <w:uiPriority w:val="99"/>
    <w:semiHidden/>
    <w:unhideWhenUsed/>
    <w:qFormat/>
    <w:pPr>
      <w:spacing w:after="40"/>
    </w:pPr>
    <w:rPr>
      <w:sz w:val="18"/>
    </w:rPr>
  </w:style>
  <w:style w:type="paragraph" w:styleId="1053">
    <w:name w:val="toc 6"/>
    <w:basedOn w:val="1020"/>
    <w:next w:val="1020"/>
    <w:uiPriority w:val="39"/>
    <w:unhideWhenUsed/>
    <w:qFormat/>
    <w:pPr>
      <w:ind w:left="1417"/>
      <w:spacing w:after="57"/>
    </w:pPr>
  </w:style>
  <w:style w:type="paragraph" w:styleId="1054">
    <w:name w:val="table of figures"/>
    <w:basedOn w:val="1020"/>
    <w:next w:val="1020"/>
    <w:uiPriority w:val="99"/>
    <w:unhideWhenUsed/>
    <w:qFormat/>
  </w:style>
  <w:style w:type="paragraph" w:styleId="1055">
    <w:name w:val="toc 2"/>
    <w:basedOn w:val="1020"/>
    <w:next w:val="1020"/>
    <w:uiPriority w:val="39"/>
    <w:unhideWhenUsed/>
    <w:qFormat/>
    <w:pPr>
      <w:ind w:left="283"/>
      <w:spacing w:after="57"/>
    </w:pPr>
  </w:style>
  <w:style w:type="paragraph" w:styleId="1056">
    <w:name w:val="toc 9"/>
    <w:basedOn w:val="1020"/>
    <w:next w:val="1020"/>
    <w:uiPriority w:val="39"/>
    <w:unhideWhenUsed/>
    <w:qFormat/>
    <w:pPr>
      <w:ind w:left="2268"/>
      <w:spacing w:after="57"/>
    </w:pPr>
  </w:style>
  <w:style w:type="paragraph" w:styleId="1057">
    <w:name w:val="Title"/>
    <w:basedOn w:val="1020"/>
    <w:next w:val="1020"/>
    <w:uiPriority w:val="10"/>
    <w:qFormat/>
    <w:pPr>
      <w:contextualSpacing/>
      <w:spacing w:before="300" w:after="200"/>
    </w:pPr>
    <w:rPr>
      <w:sz w:val="48"/>
      <w:szCs w:val="48"/>
    </w:rPr>
  </w:style>
  <w:style w:type="paragraph" w:styleId="1058">
    <w:name w:val="Body Text First Indent"/>
    <w:basedOn w:val="1037"/>
    <w:uiPriority w:val="0"/>
    <w:unhideWhenUsed/>
    <w:qFormat/>
    <w:pPr>
      <w:ind w:firstLine="420"/>
      <w:spacing w:after="120"/>
    </w:pPr>
    <w:rPr>
      <w:rFonts w:ascii="等线" w:hAnsi="等线" w:eastAsia="等线"/>
      <w:sz w:val="21"/>
    </w:rPr>
  </w:style>
  <w:style w:type="paragraph" w:styleId="1059">
    <w:name w:val="Body Text First Indent 2"/>
    <w:basedOn w:val="1038"/>
    <w:uiPriority w:val="0"/>
    <w:qFormat/>
    <w:pPr>
      <w:ind w:left="420" w:firstLine="420"/>
      <w:spacing w:after="120" w:line="240" w:lineRule="auto"/>
      <w:widowControl w:val="off"/>
    </w:pPr>
    <w:rPr>
      <w:rFonts w:ascii="Times New Roman" w:hAnsi="Times New Roman"/>
      <w:spacing w:val="0"/>
      <w:sz w:val="20"/>
    </w:rPr>
  </w:style>
  <w:style w:type="table" w:styleId="106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61">
    <w:name w:val="endnote reference"/>
    <w:uiPriority w:val="99"/>
    <w:semiHidden/>
    <w:unhideWhenUsed/>
    <w:qFormat/>
    <w:rPr>
      <w:vertAlign w:val="superscript"/>
    </w:rPr>
  </w:style>
  <w:style w:type="character" w:styleId="1062">
    <w:name w:val="Hyperlink"/>
    <w:uiPriority w:val="99"/>
    <w:unhideWhenUsed/>
    <w:qFormat/>
    <w:rPr>
      <w:color w:val="0000ff" w:themeColor="hyperlink"/>
      <w:u w:val="single"/>
      <w14:textFill>
        <w14:solidFill>
          <w14:schemeClr w14:val="hlink"/>
        </w14:solidFill>
      </w14:textFill>
    </w:rPr>
  </w:style>
  <w:style w:type="character" w:styleId="1063">
    <w:name w:val="annotation reference"/>
    <w:basedOn w:val="1030"/>
    <w:uiPriority w:val="99"/>
    <w:semiHidden/>
    <w:unhideWhenUsed/>
    <w:qFormat/>
    <w:rPr>
      <w:sz w:val="21"/>
      <w:szCs w:val="21"/>
    </w:rPr>
  </w:style>
  <w:style w:type="character" w:styleId="1064">
    <w:name w:val="footnote reference"/>
    <w:uiPriority w:val="99"/>
    <w:unhideWhenUsed/>
    <w:qFormat/>
    <w:rPr>
      <w:vertAlign w:val="superscript"/>
    </w:rPr>
  </w:style>
  <w:style w:type="paragraph" w:styleId="1065" w:customStyle="1">
    <w:name w:val="样式 表格正文 + 两端对齐"/>
    <w:basedOn w:val="1020"/>
    <w:next w:val="1066"/>
    <w:uiPriority w:val="99"/>
    <w:qFormat/>
    <w:pPr>
      <w:spacing w:line="300" w:lineRule="auto"/>
    </w:pPr>
  </w:style>
  <w:style w:type="paragraph" w:styleId="1066" w:customStyle="1">
    <w:name w:val="正文1"/>
    <w:basedOn w:val="1035"/>
    <w:next w:val="1020"/>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067" w:customStyle="1">
    <w:name w:val="正文文本11"/>
    <w:basedOn w:val="1020"/>
    <w:uiPriority w:val="0"/>
    <w:semiHidden/>
    <w:qFormat/>
    <w:rPr>
      <w:rFonts w:ascii="宋体" w:hAnsi="宋体" w:eastAsia="宋体" w:cs="宋体"/>
      <w:sz w:val="24"/>
      <w:szCs w:val="24"/>
      <w:lang w:eastAsia="en-US"/>
    </w:rPr>
  </w:style>
  <w:style w:type="paragraph" w:styleId="1068" w:customStyle="1">
    <w:name w:val="列出段落1"/>
    <w:basedOn w:val="1020"/>
    <w:uiPriority w:val="0"/>
    <w:qFormat/>
    <w:pPr>
      <w:ind w:firstLine="420"/>
    </w:pPr>
    <w:rPr>
      <w:rFonts w:ascii="Calibri" w:hAnsi="Calibri" w:eastAsia="宋体"/>
    </w:rPr>
  </w:style>
  <w:style w:type="table" w:styleId="1069" w:customStyle="1">
    <w:name w:val="Plain Table 1"/>
    <w:basedOn w:val="10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0" w:customStyle="1">
    <w:name w:val="Plain Table 2"/>
    <w:basedOn w:val="103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1" w:customStyle="1">
    <w:name w:val="Plain Table 3"/>
    <w:basedOn w:val="10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2" w:customStyle="1">
    <w:name w:val="Plain Table 4"/>
    <w:basedOn w:val="10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3" w:customStyle="1">
    <w:name w:val="Plain Table 5"/>
    <w:basedOn w:val="10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74" w:customStyle="1">
    <w:name w:val="Grid Table 1 Light"/>
    <w:basedOn w:val="103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75" w:customStyle="1">
    <w:name w:val="Grid Table 2"/>
    <w:basedOn w:val="10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76" w:customStyle="1">
    <w:name w:val="Grid Table 3"/>
    <w:basedOn w:val="10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7" w:customStyle="1">
    <w:name w:val="Grid Table 4"/>
    <w:basedOn w:val="103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78" w:customStyle="1">
    <w:name w:val="Grid Table 5 Dark"/>
    <w:basedOn w:val="10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79" w:customStyle="1">
    <w:name w:val="Grid Table 6 Colorful"/>
    <w:basedOn w:val="103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80" w:customStyle="1">
    <w:name w:val="Grid Table 7 Colorful"/>
    <w:basedOn w:val="103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1" w:customStyle="1">
    <w:name w:val="List Table 1 Light"/>
    <w:basedOn w:val="103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2" w:customStyle="1">
    <w:name w:val="List Table 2"/>
    <w:basedOn w:val="103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83" w:customStyle="1">
    <w:name w:val="List Table 3"/>
    <w:basedOn w:val="10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4" w:customStyle="1">
    <w:name w:val="List Table 4"/>
    <w:basedOn w:val="10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5" w:customStyle="1">
    <w:name w:val="List Table 5 Dark"/>
    <w:basedOn w:val="103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6" w:customStyle="1">
    <w:name w:val="List Table 6 Colorful"/>
    <w:basedOn w:val="103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87" w:customStyle="1">
    <w:name w:val="List Table 7 Colorful"/>
    <w:basedOn w:val="103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88" w:customStyle="1">
    <w:name w:val="TOC Heading"/>
    <w:uiPriority w:val="39"/>
    <w:unhideWhenUsed/>
    <w:qFormat/>
    <w:rPr>
      <w:rFonts w:hint="default" w:ascii="Times New Roman" w:hAnsi="Times New Roman" w:eastAsia="宋体" w:cs="Times New Roman"/>
    </w:rPr>
  </w:style>
  <w:style w:type="paragraph" w:styleId="1089" w:customStyle="1">
    <w:name w:val="TOC Heading1"/>
    <w:next w:val="1020"/>
    <w:uiPriority w:val="0"/>
    <w:qFormat/>
    <w:rPr>
      <w:rFonts w:hint="default" w:ascii="Times New Roman" w:hAnsi="Times New Roman" w:eastAsia="宋体" w:cs="Times New Roman"/>
      <w:sz w:val="32"/>
      <w:lang w:val="en-US" w:eastAsia="zh-CN" w:bidi="ar-SA"/>
    </w:rPr>
  </w:style>
  <w:style w:type="paragraph" w:styleId="109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091" w:customStyle="1">
    <w:name w:val="Heading 6 Char"/>
    <w:basedOn w:val="1030"/>
    <w:uiPriority w:val="9"/>
    <w:qFormat/>
    <w:rPr>
      <w:rFonts w:ascii="Arial" w:hAnsi="Arial" w:eastAsia="Arial" w:cs="Arial"/>
      <w:b/>
      <w:bCs/>
      <w:sz w:val="22"/>
      <w:szCs w:val="22"/>
    </w:rPr>
  </w:style>
  <w:style w:type="character" w:styleId="1092" w:customStyle="1">
    <w:name w:val="Heading 7 Char"/>
    <w:basedOn w:val="1030"/>
    <w:uiPriority w:val="9"/>
    <w:qFormat/>
    <w:rPr>
      <w:rFonts w:ascii="Arial" w:hAnsi="Arial" w:eastAsia="Arial" w:cs="Arial"/>
      <w:b/>
      <w:bCs/>
      <w:i/>
      <w:iCs/>
      <w:sz w:val="22"/>
      <w:szCs w:val="22"/>
    </w:rPr>
  </w:style>
  <w:style w:type="character" w:styleId="1093" w:customStyle="1">
    <w:name w:val="Heading 8 Char"/>
    <w:basedOn w:val="1030"/>
    <w:uiPriority w:val="9"/>
    <w:qFormat/>
    <w:rPr>
      <w:rFonts w:ascii="Arial" w:hAnsi="Arial" w:eastAsia="Arial" w:cs="Arial"/>
      <w:i/>
      <w:iCs/>
      <w:sz w:val="22"/>
      <w:szCs w:val="22"/>
    </w:rPr>
  </w:style>
  <w:style w:type="character" w:styleId="1094" w:customStyle="1">
    <w:name w:val="Heading 9 Char"/>
    <w:basedOn w:val="1030"/>
    <w:uiPriority w:val="9"/>
    <w:qFormat/>
    <w:rPr>
      <w:rFonts w:ascii="Arial" w:hAnsi="Arial" w:eastAsia="Arial" w:cs="Arial"/>
      <w:i/>
      <w:iCs/>
      <w:sz w:val="21"/>
      <w:szCs w:val="21"/>
    </w:rPr>
  </w:style>
  <w:style w:type="character" w:styleId="1095" w:customStyle="1">
    <w:name w:val="Subtitle Char"/>
    <w:basedOn w:val="1030"/>
    <w:uiPriority w:val="11"/>
    <w:qFormat/>
    <w:rPr>
      <w:sz w:val="24"/>
      <w:szCs w:val="24"/>
    </w:rPr>
  </w:style>
  <w:style w:type="character" w:styleId="1096" w:customStyle="1">
    <w:name w:val="Quote Char"/>
    <w:uiPriority w:val="29"/>
    <w:qFormat/>
    <w:rPr>
      <w:i/>
    </w:rPr>
  </w:style>
  <w:style w:type="character" w:styleId="1097" w:customStyle="1">
    <w:name w:val="Intense Quote Char"/>
    <w:uiPriority w:val="30"/>
    <w:qFormat/>
    <w:rPr>
      <w:i/>
    </w:rPr>
  </w:style>
  <w:style w:type="character" w:styleId="1098" w:customStyle="1">
    <w:name w:val="Caption Char"/>
    <w:uiPriority w:val="99"/>
    <w:qFormat/>
  </w:style>
  <w:style w:type="table" w:styleId="1099" w:customStyle="1">
    <w:name w:val="无格式表格 11"/>
    <w:basedOn w:val="10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0" w:customStyle="1">
    <w:name w:val="无格式表格 21"/>
    <w:basedOn w:val="103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1" w:customStyle="1">
    <w:name w:val="无格式表格 31"/>
    <w:basedOn w:val="103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2" w:customStyle="1">
    <w:name w:val="无格式表格 41"/>
    <w:basedOn w:val="103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03" w:customStyle="1">
    <w:name w:val="无格式表格 51"/>
    <w:basedOn w:val="103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04" w:customStyle="1">
    <w:name w:val="网格表 1 浅色1"/>
    <w:basedOn w:val="103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05" w:customStyle="1">
    <w:name w:val="网格表 21"/>
    <w:basedOn w:val="10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06" w:customStyle="1">
    <w:name w:val="网格表 31"/>
    <w:basedOn w:val="10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7" w:customStyle="1">
    <w:name w:val="网格表 41"/>
    <w:basedOn w:val="103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08" w:customStyle="1">
    <w:name w:val="网格表 5 深色1"/>
    <w:basedOn w:val="10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09" w:customStyle="1">
    <w:name w:val="网格表 6 彩色1"/>
    <w:basedOn w:val="103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10" w:customStyle="1">
    <w:name w:val="网格表 7 彩色1"/>
    <w:basedOn w:val="103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1" w:customStyle="1">
    <w:name w:val="清单表 1 浅色1"/>
    <w:basedOn w:val="103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2" w:customStyle="1">
    <w:name w:val="清单表 21"/>
    <w:basedOn w:val="103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13" w:customStyle="1">
    <w:name w:val="清单表 31"/>
    <w:basedOn w:val="10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4" w:customStyle="1">
    <w:name w:val="清单表 41"/>
    <w:basedOn w:val="10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5" w:customStyle="1">
    <w:name w:val="清单表 5 深色1"/>
    <w:basedOn w:val="103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6" w:customStyle="1">
    <w:name w:val="清单表 6 彩色1"/>
    <w:basedOn w:val="1031"/>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7" w:customStyle="1">
    <w:name w:val="清单表 7 彩色1"/>
    <w:basedOn w:val="1031"/>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118" w:customStyle="1">
    <w:name w:val="Endnote Text Char"/>
    <w:uiPriority w:val="99"/>
    <w:qFormat/>
    <w:rPr>
      <w:sz w:val="20"/>
    </w:rPr>
  </w:style>
  <w:style w:type="paragraph" w:styleId="1119" w:customStyle="1">
    <w:name w:val="TOC 标题1"/>
    <w:uiPriority w:val="39"/>
    <w:unhideWhenUsed/>
    <w:qFormat/>
    <w:rPr>
      <w:rFonts w:hint="default" w:ascii="等线" w:hAnsi="等线" w:eastAsia="等线" w:cs="Times New Roman"/>
      <w:lang w:val="en-US" w:eastAsia="zh-CN" w:bidi="ar-SA"/>
    </w:rPr>
  </w:style>
  <w:style w:type="paragraph" w:styleId="1120" w:customStyle="1">
    <w:name w:val="标题 31"/>
    <w:basedOn w:val="1020"/>
    <w:next w:val="1020"/>
    <w:link w:val="1251"/>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character" w:styleId="1121" w:customStyle="1">
    <w:name w:val="标题 6 字符2"/>
    <w:link w:val="1026"/>
    <w:uiPriority w:val="9"/>
    <w:qFormat/>
    <w:rPr>
      <w:rFonts w:ascii="Arial" w:hAnsi="Arial" w:eastAsia="Arial" w:cs="Arial"/>
      <w:b/>
      <w:bCs/>
      <w:sz w:val="22"/>
      <w:szCs w:val="22"/>
    </w:rPr>
  </w:style>
  <w:style w:type="character" w:styleId="1122" w:customStyle="1">
    <w:name w:val="标题 7 字符2"/>
    <w:link w:val="1027"/>
    <w:uiPriority w:val="9"/>
    <w:qFormat/>
    <w:rPr>
      <w:rFonts w:ascii="Arial" w:hAnsi="Arial" w:eastAsia="Arial" w:cs="Arial"/>
      <w:b/>
      <w:bCs/>
      <w:i/>
      <w:iCs/>
      <w:sz w:val="22"/>
      <w:szCs w:val="22"/>
    </w:rPr>
  </w:style>
  <w:style w:type="character" w:styleId="1123" w:customStyle="1">
    <w:name w:val="标题 8 字符2"/>
    <w:link w:val="1028"/>
    <w:uiPriority w:val="9"/>
    <w:qFormat/>
    <w:rPr>
      <w:rFonts w:ascii="Arial" w:hAnsi="Arial" w:eastAsia="Arial" w:cs="Arial"/>
      <w:i/>
      <w:iCs/>
      <w:sz w:val="22"/>
      <w:szCs w:val="22"/>
    </w:rPr>
  </w:style>
  <w:style w:type="character" w:styleId="1124" w:customStyle="1">
    <w:name w:val="标题 9 字符2"/>
    <w:link w:val="1029"/>
    <w:uiPriority w:val="9"/>
    <w:qFormat/>
    <w:rPr>
      <w:rFonts w:ascii="Arial" w:hAnsi="Arial" w:eastAsia="Arial" w:cs="Arial"/>
      <w:i/>
      <w:iCs/>
      <w:sz w:val="21"/>
      <w:szCs w:val="21"/>
    </w:rPr>
  </w:style>
  <w:style w:type="paragraph" w:styleId="1125">
    <w:name w:val="No Spacing"/>
    <w:uiPriority w:val="1"/>
    <w:qFormat/>
    <w:rPr>
      <w:rFonts w:hint="default" w:ascii="等线" w:hAnsi="等线" w:eastAsia="等线" w:cs="Times New Roman"/>
      <w:lang w:val="en-US" w:eastAsia="zh-CN" w:bidi="ar-SA"/>
    </w:rPr>
  </w:style>
  <w:style w:type="character" w:styleId="1126" w:customStyle="1">
    <w:name w:val="副标题 字符2"/>
    <w:link w:val="1050"/>
    <w:uiPriority w:val="11"/>
    <w:qFormat/>
    <w:rPr>
      <w:sz w:val="24"/>
      <w:szCs w:val="24"/>
    </w:rPr>
  </w:style>
  <w:style w:type="paragraph" w:styleId="1127">
    <w:name w:val="Quote"/>
    <w:basedOn w:val="1020"/>
    <w:next w:val="1020"/>
    <w:link w:val="1128"/>
    <w:uiPriority w:val="29"/>
    <w:qFormat/>
    <w:pPr>
      <w:ind w:left="720" w:right="720"/>
    </w:pPr>
    <w:rPr>
      <w:i/>
    </w:rPr>
  </w:style>
  <w:style w:type="character" w:styleId="1128" w:customStyle="1">
    <w:name w:val="引用 字符2"/>
    <w:link w:val="1127"/>
    <w:uiPriority w:val="29"/>
    <w:qFormat/>
    <w:rPr>
      <w:i/>
    </w:rPr>
  </w:style>
  <w:style w:type="paragraph" w:styleId="1129">
    <w:name w:val="Intense Quote"/>
    <w:basedOn w:val="1020"/>
    <w:next w:val="1020"/>
    <w:link w:val="11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30" w:customStyle="1">
    <w:name w:val="明显引用 字符2"/>
    <w:link w:val="1129"/>
    <w:uiPriority w:val="30"/>
    <w:qFormat/>
    <w:rPr>
      <w:i/>
    </w:rPr>
  </w:style>
  <w:style w:type="character" w:styleId="1131" w:customStyle="1">
    <w:name w:val="页脚 字符3"/>
    <w:link w:val="1046"/>
    <w:uiPriority w:val="99"/>
    <w:qFormat/>
  </w:style>
  <w:style w:type="table" w:styleId="113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3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3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3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3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3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3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3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4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4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4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4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4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4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5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5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5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5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5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5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5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5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6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6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6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6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6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6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16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6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6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6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7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7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7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7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7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7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7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7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7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7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8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8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8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8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8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8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8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8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8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8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9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9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9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9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9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9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9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9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9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9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0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0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0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0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1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1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1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1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1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1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1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1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1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1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2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2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2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2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2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2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2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2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2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2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3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3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3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3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3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3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3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3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38" w:customStyle="1">
    <w:name w:val="尾注文本 字符"/>
    <w:link w:val="1045"/>
    <w:uiPriority w:val="99"/>
    <w:qFormat/>
    <w:rPr>
      <w:sz w:val="20"/>
    </w:rPr>
  </w:style>
  <w:style w:type="paragraph" w:styleId="1239" w:customStyle="1">
    <w:name w:val="TOC 标题111"/>
    <w:uiPriority w:val="39"/>
    <w:unhideWhenUsed/>
    <w:qFormat/>
    <w:rPr>
      <w:rFonts w:hint="default" w:ascii="等线" w:hAnsi="等线" w:eastAsia="等线" w:cs="Times New Roman"/>
      <w:lang w:val="en-US" w:eastAsia="zh-CN" w:bidi="ar-SA"/>
    </w:rPr>
  </w:style>
  <w:style w:type="paragraph" w:styleId="1240" w:customStyle="1">
    <w:name w:val="标题 11"/>
    <w:basedOn w:val="1020"/>
    <w:next w:val="1020"/>
    <w:link w:val="1252"/>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1241" w:customStyle="1">
    <w:name w:val="标题 21"/>
    <w:basedOn w:val="1020"/>
    <w:next w:val="1020"/>
    <w:link w:val="1253"/>
    <w:uiPriority w:val="9"/>
    <w:qFormat/>
    <w:pPr>
      <w:keepLines/>
      <w:keepNext/>
      <w:spacing w:before="260" w:after="260" w:line="413" w:lineRule="auto"/>
      <w:outlineLvl w:val="1"/>
    </w:pPr>
    <w:rPr>
      <w:rFonts w:ascii="Arial" w:hAnsi="Arial" w:eastAsia="黑体"/>
      <w:b/>
      <w:bCs/>
      <w:sz w:val="32"/>
      <w:szCs w:val="32"/>
    </w:rPr>
  </w:style>
  <w:style w:type="paragraph" w:styleId="1242" w:customStyle="1">
    <w:name w:val="标题 41"/>
    <w:basedOn w:val="1020"/>
    <w:next w:val="1243"/>
    <w:link w:val="1254"/>
    <w:uiPriority w:val="0"/>
    <w:qFormat/>
    <w:pPr>
      <w:jc w:val="center"/>
      <w:keepLines/>
      <w:keepNext/>
      <w:spacing w:before="120" w:after="120" w:line="360" w:lineRule="auto"/>
      <w:widowControl/>
      <w:outlineLvl w:val="3"/>
    </w:pPr>
    <w:rPr>
      <w:rFonts w:ascii="Arial" w:hAnsi="Arial" w:eastAsia="黑体"/>
      <w:sz w:val="28"/>
      <w:szCs w:val="20"/>
    </w:rPr>
  </w:style>
  <w:style w:type="paragraph" w:styleId="1243" w:customStyle="1">
    <w:name w:val="正文缩进1"/>
    <w:basedOn w:val="1020"/>
    <w:next w:val="1020"/>
    <w:link w:val="1260"/>
    <w:uiPriority w:val="0"/>
    <w:qFormat/>
    <w:pPr>
      <w:ind w:firstLine="420"/>
    </w:pPr>
    <w:rPr>
      <w:rFonts w:ascii="Times New Roman" w:hAnsi="Times New Roman" w:eastAsia="宋体"/>
      <w:szCs w:val="20"/>
    </w:rPr>
  </w:style>
  <w:style w:type="paragraph" w:styleId="1244" w:customStyle="1">
    <w:name w:val="标题 51"/>
    <w:basedOn w:val="1020"/>
    <w:next w:val="1020"/>
    <w:link w:val="1255"/>
    <w:uiPriority w:val="9"/>
    <w:qFormat/>
    <w:pPr>
      <w:ind w:firstLine="499"/>
      <w:jc w:val="left"/>
      <w:keepLines/>
      <w:keepNext/>
      <w:spacing w:before="120" w:after="120" w:line="360" w:lineRule="auto"/>
      <w:widowControl/>
      <w:outlineLvl w:val="4"/>
    </w:pPr>
    <w:rPr>
      <w:rFonts w:ascii="宋体" w:hAnsi="宋体" w:eastAsia="宋体"/>
      <w:b/>
      <w:sz w:val="24"/>
      <w:szCs w:val="20"/>
    </w:rPr>
  </w:style>
  <w:style w:type="paragraph" w:styleId="1245" w:customStyle="1">
    <w:name w:val="标题 61"/>
    <w:basedOn w:val="1020"/>
    <w:next w:val="1020"/>
    <w:link w:val="1256"/>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1246" w:customStyle="1">
    <w:name w:val="标题 71"/>
    <w:basedOn w:val="1020"/>
    <w:next w:val="1020"/>
    <w:link w:val="1257"/>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b/>
      <w:bCs/>
      <w:sz w:val="24"/>
      <w:szCs w:val="24"/>
    </w:rPr>
  </w:style>
  <w:style w:type="paragraph" w:styleId="1247" w:customStyle="1">
    <w:name w:val="标题 81"/>
    <w:basedOn w:val="1020"/>
    <w:next w:val="1020"/>
    <w:link w:val="1258"/>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1248" w:customStyle="1">
    <w:name w:val="标题 91"/>
    <w:basedOn w:val="1020"/>
    <w:next w:val="1020"/>
    <w:link w:val="1259"/>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1249" w:customStyle="1">
    <w:name w:val="默认段落字体1"/>
    <w:uiPriority w:val="1"/>
    <w:unhideWhenUsed/>
    <w:qFormat/>
  </w:style>
  <w:style w:type="table" w:styleId="1250" w:customStyle="1">
    <w:name w:val="普通表格1"/>
    <w:uiPriority w:val="99"/>
    <w:unhideWhenUsed/>
    <w:qFormat/>
    <w:tblPr>
      <w:tblCellMar>
        <w:left w:w="0" w:type="dxa"/>
        <w:top w:w="0" w:type="dxa"/>
        <w:right w:w="0" w:type="dxa"/>
        <w:bottom w:w="0" w:type="dxa"/>
      </w:tblCellMar>
    </w:tblPr>
  </w:style>
  <w:style w:type="character" w:styleId="1251" w:customStyle="1">
    <w:name w:val="标题 3 字符1"/>
    <w:link w:val="1120"/>
    <w:uiPriority w:val="0"/>
    <w:qFormat/>
    <w:rPr>
      <w:rFonts w:ascii="Times New Roman" w:hAnsi="Times New Roman" w:eastAsia="宋体" w:cs="Times New Roman"/>
      <w:b/>
      <w:sz w:val="32"/>
      <w:szCs w:val="20"/>
    </w:rPr>
  </w:style>
  <w:style w:type="character" w:styleId="1252" w:customStyle="1">
    <w:name w:val="标题 1 字符1"/>
    <w:link w:val="1240"/>
    <w:uiPriority w:val="9"/>
    <w:qFormat/>
    <w:rPr>
      <w:rFonts w:ascii="黑体" w:hAnsi="Times New Roman" w:eastAsia="黑体" w:cs="Times New Roman"/>
      <w:sz w:val="52"/>
      <w:szCs w:val="20"/>
    </w:rPr>
  </w:style>
  <w:style w:type="character" w:styleId="1253" w:customStyle="1">
    <w:name w:val="标题 2 字符1"/>
    <w:link w:val="1241"/>
    <w:uiPriority w:val="9"/>
    <w:qFormat/>
    <w:rPr>
      <w:rFonts w:ascii="Arial" w:hAnsi="Arial" w:eastAsia="黑体" w:cs="Times New Roman"/>
      <w:b/>
      <w:bCs/>
      <w:sz w:val="32"/>
      <w:szCs w:val="32"/>
    </w:rPr>
  </w:style>
  <w:style w:type="character" w:styleId="1254" w:customStyle="1">
    <w:name w:val="标题 4 字符1"/>
    <w:link w:val="1242"/>
    <w:uiPriority w:val="0"/>
    <w:qFormat/>
    <w:rPr>
      <w:rFonts w:ascii="Arial" w:hAnsi="Arial" w:eastAsia="黑体" w:cs="Times New Roman"/>
      <w:sz w:val="28"/>
      <w:szCs w:val="20"/>
    </w:rPr>
  </w:style>
  <w:style w:type="character" w:styleId="1255" w:customStyle="1">
    <w:name w:val="标题 5 字符1"/>
    <w:link w:val="1244"/>
    <w:uiPriority w:val="9"/>
    <w:qFormat/>
    <w:rPr>
      <w:rFonts w:ascii="宋体" w:hAnsi="宋体" w:eastAsia="宋体" w:cs="Times New Roman"/>
      <w:b/>
      <w:sz w:val="24"/>
      <w:szCs w:val="20"/>
    </w:rPr>
  </w:style>
  <w:style w:type="character" w:styleId="1256" w:customStyle="1">
    <w:name w:val="标题 6 字符1"/>
    <w:link w:val="1245"/>
    <w:uiPriority w:val="9"/>
    <w:qFormat/>
    <w:rPr>
      <w:rFonts w:ascii="Arial" w:hAnsi="Arial" w:eastAsia="黑体" w:cs="Times New Roman"/>
      <w:b/>
      <w:bCs/>
      <w:sz w:val="24"/>
      <w:szCs w:val="24"/>
    </w:rPr>
  </w:style>
  <w:style w:type="character" w:styleId="1257" w:customStyle="1">
    <w:name w:val="标题 7 字符1"/>
    <w:link w:val="1246"/>
    <w:uiPriority w:val="9"/>
    <w:qFormat/>
    <w:rPr>
      <w:rFonts w:ascii="Times New Roman" w:hAnsi="Times New Roman" w:eastAsia="宋体" w:cs="Times New Roman"/>
      <w:b/>
      <w:bCs/>
      <w:sz w:val="24"/>
      <w:szCs w:val="24"/>
    </w:rPr>
  </w:style>
  <w:style w:type="character" w:styleId="1258" w:customStyle="1">
    <w:name w:val="标题 8 字符1"/>
    <w:link w:val="1247"/>
    <w:uiPriority w:val="9"/>
    <w:qFormat/>
    <w:rPr>
      <w:rFonts w:ascii="Arial" w:hAnsi="Arial" w:eastAsia="黑体" w:cs="Times New Roman"/>
      <w:sz w:val="24"/>
      <w:szCs w:val="24"/>
    </w:rPr>
  </w:style>
  <w:style w:type="character" w:styleId="1259" w:customStyle="1">
    <w:name w:val="标题 9 字符1"/>
    <w:link w:val="1248"/>
    <w:uiPriority w:val="0"/>
    <w:qFormat/>
    <w:rPr>
      <w:rFonts w:ascii="Arial" w:hAnsi="Arial" w:eastAsia="黑体" w:cs="Times New Roman"/>
      <w:szCs w:val="21"/>
    </w:rPr>
  </w:style>
  <w:style w:type="character" w:styleId="1260" w:customStyle="1">
    <w:name w:val="正文缩进 字符1"/>
    <w:link w:val="1243"/>
    <w:uiPriority w:val="0"/>
    <w:qFormat/>
    <w:rPr>
      <w:rFonts w:ascii="Times New Roman" w:hAnsi="Times New Roman" w:eastAsia="宋体" w:cs="Times New Roman"/>
      <w:szCs w:val="20"/>
    </w:rPr>
  </w:style>
  <w:style w:type="paragraph" w:styleId="1261" w:customStyle="1">
    <w:name w:val="题注1"/>
    <w:basedOn w:val="1020"/>
    <w:next w:val="1020"/>
    <w:uiPriority w:val="99"/>
    <w:qFormat/>
    <w:rPr>
      <w:rFonts w:ascii="Cambria" w:hAnsi="Cambria" w:eastAsia="黑体"/>
      <w:sz w:val="20"/>
      <w:szCs w:val="20"/>
    </w:rPr>
  </w:style>
  <w:style w:type="paragraph" w:styleId="1262" w:customStyle="1">
    <w:name w:val="文档结构图1"/>
    <w:basedOn w:val="1020"/>
    <w:link w:val="1263"/>
    <w:uiPriority w:val="99"/>
    <w:qFormat/>
    <w:pPr>
      <w:shd w:val="clear" w:color="auto" w:fill="000080"/>
    </w:pPr>
    <w:rPr>
      <w:rFonts w:ascii="Times New Roman" w:hAnsi="Times New Roman" w:eastAsia="宋体"/>
      <w:szCs w:val="20"/>
    </w:rPr>
  </w:style>
  <w:style w:type="character" w:styleId="1263" w:customStyle="1">
    <w:name w:val="文档结构图 字符2"/>
    <w:link w:val="1262"/>
    <w:uiPriority w:val="99"/>
    <w:qFormat/>
    <w:rPr>
      <w:rFonts w:ascii="Times New Roman" w:hAnsi="Times New Roman" w:eastAsia="宋体" w:cs="Times New Roman"/>
      <w:szCs w:val="20"/>
      <w:shd w:val="clear" w:color="auto" w:fill="000080"/>
    </w:rPr>
  </w:style>
  <w:style w:type="paragraph" w:styleId="1264" w:customStyle="1">
    <w:name w:val="批注文字1"/>
    <w:basedOn w:val="1020"/>
    <w:link w:val="1265"/>
    <w:uiPriority w:val="99"/>
    <w:qFormat/>
    <w:pPr>
      <w:jc w:val="left"/>
      <w:spacing w:line="360" w:lineRule="atLeast"/>
    </w:pPr>
    <w:rPr>
      <w:rFonts w:ascii="Times New Roman" w:hAnsi="Times New Roman" w:eastAsia="宋体"/>
      <w:sz w:val="24"/>
      <w:szCs w:val="20"/>
    </w:rPr>
  </w:style>
  <w:style w:type="character" w:styleId="1265" w:customStyle="1">
    <w:name w:val="批注文字 字符2"/>
    <w:link w:val="1264"/>
    <w:uiPriority w:val="99"/>
    <w:qFormat/>
    <w:rPr>
      <w:rFonts w:ascii="Times New Roman" w:hAnsi="Times New Roman" w:eastAsia="宋体" w:cs="Times New Roman"/>
      <w:sz w:val="24"/>
      <w:szCs w:val="20"/>
    </w:rPr>
  </w:style>
  <w:style w:type="paragraph" w:styleId="1266" w:customStyle="1">
    <w:name w:val="正文文本 31"/>
    <w:basedOn w:val="1020"/>
    <w:link w:val="1267"/>
    <w:uiPriority w:val="0"/>
    <w:qFormat/>
    <w:rPr>
      <w:rFonts w:ascii="宋体" w:hAnsi="Times New Roman" w:eastAsia="宋体"/>
      <w:sz w:val="24"/>
      <w:szCs w:val="20"/>
    </w:rPr>
  </w:style>
  <w:style w:type="character" w:styleId="1267" w:customStyle="1">
    <w:name w:val="正文文本 3 字符"/>
    <w:link w:val="1266"/>
    <w:uiPriority w:val="0"/>
    <w:qFormat/>
    <w:rPr>
      <w:rFonts w:ascii="宋体" w:hAnsi="Times New Roman" w:eastAsia="宋体" w:cs="Times New Roman"/>
      <w:sz w:val="24"/>
      <w:szCs w:val="20"/>
    </w:rPr>
  </w:style>
  <w:style w:type="paragraph" w:styleId="1268" w:customStyle="1">
    <w:name w:val="正文文本1"/>
    <w:basedOn w:val="1020"/>
    <w:next w:val="1269"/>
    <w:link w:val="1270"/>
    <w:uiPriority w:val="0"/>
    <w:qFormat/>
    <w:rPr>
      <w:rFonts w:ascii="华文中宋" w:hAnsi="Times New Roman" w:eastAsia="华文中宋"/>
      <w:bCs/>
      <w:sz w:val="28"/>
      <w:szCs w:val="20"/>
    </w:rPr>
  </w:style>
  <w:style w:type="paragraph" w:styleId="1269" w:customStyle="1">
    <w:name w:val="正文首行缩进1"/>
    <w:basedOn w:val="1268"/>
    <w:link w:val="1316"/>
    <w:uiPriority w:val="99"/>
    <w:unhideWhenUsed/>
    <w:qFormat/>
    <w:pPr>
      <w:ind w:firstLine="420"/>
      <w:spacing w:after="120"/>
    </w:pPr>
    <w:rPr>
      <w:rFonts w:ascii="等线" w:hAnsi="等线" w:eastAsia="等线"/>
      <w:bCs w:val="0"/>
      <w:sz w:val="21"/>
      <w:szCs w:val="22"/>
    </w:rPr>
  </w:style>
  <w:style w:type="character" w:styleId="1270" w:customStyle="1">
    <w:name w:val="正文文本 字符2"/>
    <w:link w:val="1268"/>
    <w:uiPriority w:val="0"/>
    <w:qFormat/>
    <w:rPr>
      <w:rFonts w:ascii="华文中宋" w:hAnsi="Times New Roman" w:eastAsia="华文中宋" w:cs="Times New Roman"/>
      <w:bCs/>
      <w:sz w:val="28"/>
      <w:szCs w:val="20"/>
    </w:rPr>
  </w:style>
  <w:style w:type="character" w:styleId="1271" w:customStyle="1">
    <w:name w:val="正文首行缩进 字符"/>
    <w:uiPriority w:val="99"/>
    <w:semiHidden/>
    <w:qFormat/>
    <w:rPr>
      <w:rFonts w:ascii="华文中宋" w:hAnsi="Times New Roman" w:eastAsia="华文中宋" w:cs="Times New Roman"/>
      <w:sz w:val="28"/>
      <w:szCs w:val="20"/>
    </w:rPr>
  </w:style>
  <w:style w:type="paragraph" w:styleId="1272" w:customStyle="1">
    <w:name w:val="正文文本缩进1"/>
    <w:basedOn w:val="1020"/>
    <w:next w:val="1273"/>
    <w:link w:val="1274"/>
    <w:uiPriority w:val="0"/>
    <w:qFormat/>
    <w:pPr>
      <w:ind w:firstLine="540"/>
      <w:spacing w:line="360" w:lineRule="auto"/>
      <w:widowControl/>
    </w:pPr>
    <w:rPr>
      <w:rFonts w:ascii="宋体" w:hAnsi="MS Sans Serif" w:eastAsia="宋体"/>
      <w:spacing w:val="12"/>
      <w:sz w:val="24"/>
      <w:szCs w:val="20"/>
    </w:rPr>
  </w:style>
  <w:style w:type="paragraph" w:styleId="1273" w:customStyle="1">
    <w:name w:val="寄信人地址1"/>
    <w:basedOn w:val="1020"/>
    <w:uiPriority w:val="0"/>
    <w:qFormat/>
    <w:rPr>
      <w:rFonts w:ascii="Arial" w:hAnsi="Arial" w:eastAsia="宋体"/>
      <w:szCs w:val="20"/>
    </w:rPr>
  </w:style>
  <w:style w:type="character" w:styleId="1274" w:customStyle="1">
    <w:name w:val="正文文本缩进 字符2"/>
    <w:link w:val="1272"/>
    <w:uiPriority w:val="0"/>
    <w:qFormat/>
    <w:rPr>
      <w:rFonts w:ascii="宋体" w:hAnsi="MS Sans Serif" w:eastAsia="宋体" w:cs="Times New Roman"/>
      <w:spacing w:val="12"/>
      <w:sz w:val="24"/>
      <w:szCs w:val="20"/>
    </w:rPr>
  </w:style>
  <w:style w:type="paragraph" w:styleId="1275" w:customStyle="1">
    <w:name w:val="文本块1"/>
    <w:basedOn w:val="1020"/>
    <w:uiPriority w:val="99"/>
    <w:qFormat/>
    <w:pPr>
      <w:ind w:left="420" w:right="33"/>
      <w:jc w:val="left"/>
    </w:pPr>
    <w:rPr>
      <w:rFonts w:ascii="Times New Roman" w:hAnsi="Times New Roman" w:eastAsia="宋体"/>
      <w:sz w:val="24"/>
      <w:szCs w:val="20"/>
    </w:rPr>
  </w:style>
  <w:style w:type="paragraph" w:styleId="1276" w:customStyle="1">
    <w:name w:val="索引 41"/>
    <w:basedOn w:val="1020"/>
    <w:next w:val="1020"/>
    <w:uiPriority w:val="99"/>
    <w:qFormat/>
    <w:pPr>
      <w:ind w:left="600"/>
    </w:pPr>
    <w:rPr>
      <w:rFonts w:ascii="Times New Roman" w:hAnsi="Times New Roman" w:eastAsia="宋体"/>
      <w:szCs w:val="24"/>
    </w:rPr>
  </w:style>
  <w:style w:type="paragraph" w:styleId="1277" w:customStyle="1">
    <w:name w:val="纯文本1"/>
    <w:basedOn w:val="1020"/>
    <w:next w:val="1278"/>
    <w:link w:val="1279"/>
    <w:uiPriority w:val="0"/>
    <w:qFormat/>
    <w:rPr>
      <w:rFonts w:ascii="宋体" w:hAnsi="Courier New" w:eastAsia="宋体"/>
      <w:szCs w:val="20"/>
    </w:rPr>
  </w:style>
  <w:style w:type="paragraph" w:styleId="1278" w:customStyle="1">
    <w:name w:val="目录 21"/>
    <w:basedOn w:val="1020"/>
    <w:next w:val="1020"/>
    <w:uiPriority w:val="39"/>
    <w:unhideWhenUsed/>
    <w:qFormat/>
    <w:pPr>
      <w:ind w:left="420"/>
    </w:pPr>
  </w:style>
  <w:style w:type="character" w:styleId="1279" w:customStyle="1">
    <w:name w:val="纯文本 字符2"/>
    <w:link w:val="1277"/>
    <w:uiPriority w:val="0"/>
    <w:qFormat/>
    <w:rPr>
      <w:rFonts w:ascii="宋体" w:hAnsi="Courier New" w:eastAsia="宋体" w:cs="Times New Roman"/>
      <w:szCs w:val="20"/>
    </w:rPr>
  </w:style>
  <w:style w:type="paragraph" w:styleId="1280" w:customStyle="1">
    <w:name w:val="日期1"/>
    <w:basedOn w:val="1020"/>
    <w:next w:val="1020"/>
    <w:link w:val="1281"/>
    <w:uiPriority w:val="99"/>
    <w:qFormat/>
    <w:rPr>
      <w:rFonts w:ascii="Times New Roman" w:hAnsi="Times New Roman" w:eastAsia="宋体"/>
      <w:sz w:val="24"/>
      <w:szCs w:val="20"/>
    </w:rPr>
  </w:style>
  <w:style w:type="character" w:styleId="1281" w:customStyle="1">
    <w:name w:val="日期 字符2"/>
    <w:link w:val="1280"/>
    <w:uiPriority w:val="99"/>
    <w:qFormat/>
    <w:rPr>
      <w:rFonts w:ascii="Times New Roman" w:hAnsi="Times New Roman" w:eastAsia="宋体" w:cs="Times New Roman"/>
      <w:sz w:val="24"/>
      <w:szCs w:val="20"/>
    </w:rPr>
  </w:style>
  <w:style w:type="paragraph" w:styleId="1282" w:customStyle="1">
    <w:name w:val="正文文本缩进 21"/>
    <w:basedOn w:val="1020"/>
    <w:link w:val="1283"/>
    <w:uiPriority w:val="99"/>
    <w:qFormat/>
    <w:pPr>
      <w:ind w:left="420"/>
      <w:spacing w:after="120" w:line="480" w:lineRule="auto"/>
    </w:pPr>
    <w:rPr>
      <w:rFonts w:ascii="Times New Roman" w:hAnsi="Times New Roman" w:eastAsia="宋体"/>
      <w:szCs w:val="24"/>
    </w:rPr>
  </w:style>
  <w:style w:type="character" w:styleId="1283" w:customStyle="1">
    <w:name w:val="正文文本缩进 2 字符2"/>
    <w:link w:val="1282"/>
    <w:uiPriority w:val="99"/>
    <w:qFormat/>
    <w:rPr>
      <w:rFonts w:ascii="Times New Roman" w:hAnsi="Times New Roman" w:eastAsia="宋体" w:cs="Times New Roman"/>
      <w:szCs w:val="24"/>
    </w:rPr>
  </w:style>
  <w:style w:type="paragraph" w:styleId="1284" w:customStyle="1">
    <w:name w:val="批注框文本1"/>
    <w:basedOn w:val="1020"/>
    <w:link w:val="1285"/>
    <w:uiPriority w:val="99"/>
    <w:qFormat/>
    <w:rPr>
      <w:rFonts w:ascii="Times New Roman" w:hAnsi="Times New Roman" w:eastAsia="宋体"/>
      <w:sz w:val="18"/>
      <w:szCs w:val="18"/>
    </w:rPr>
  </w:style>
  <w:style w:type="character" w:styleId="1285" w:customStyle="1">
    <w:name w:val="批注框文本 字符2"/>
    <w:link w:val="1284"/>
    <w:uiPriority w:val="99"/>
    <w:qFormat/>
    <w:rPr>
      <w:rFonts w:ascii="Times New Roman" w:hAnsi="Times New Roman" w:eastAsia="宋体" w:cs="Times New Roman"/>
      <w:sz w:val="18"/>
      <w:szCs w:val="18"/>
    </w:rPr>
  </w:style>
  <w:style w:type="paragraph" w:styleId="1286" w:customStyle="1">
    <w:name w:val="页脚1"/>
    <w:basedOn w:val="1020"/>
    <w:next w:val="1089"/>
    <w:link w:val="1287"/>
    <w:uiPriority w:val="99"/>
    <w:unhideWhenUsed/>
    <w:qFormat/>
    <w:pPr>
      <w:jc w:val="left"/>
      <w:tabs>
        <w:tab w:val="center" w:pos="4153" w:leader="none"/>
        <w:tab w:val="right" w:pos="8306" w:leader="none"/>
      </w:tabs>
    </w:pPr>
    <w:rPr>
      <w:sz w:val="18"/>
      <w:szCs w:val="18"/>
    </w:rPr>
  </w:style>
  <w:style w:type="character" w:styleId="1287" w:customStyle="1">
    <w:name w:val="页脚 字符"/>
    <w:link w:val="1286"/>
    <w:uiPriority w:val="0"/>
    <w:qFormat/>
    <w:rPr>
      <w:sz w:val="18"/>
      <w:szCs w:val="18"/>
    </w:rPr>
  </w:style>
  <w:style w:type="paragraph" w:styleId="1288" w:customStyle="1">
    <w:name w:val="页眉1"/>
    <w:basedOn w:val="1020"/>
    <w:link w:val="128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289" w:customStyle="1">
    <w:name w:val="页眉 字符"/>
    <w:link w:val="1288"/>
    <w:uiPriority w:val="99"/>
    <w:qFormat/>
    <w:rPr>
      <w:sz w:val="18"/>
      <w:szCs w:val="18"/>
    </w:rPr>
  </w:style>
  <w:style w:type="paragraph" w:styleId="1290" w:customStyle="1">
    <w:name w:val="目录 11"/>
    <w:basedOn w:val="1020"/>
    <w:next w:val="1020"/>
    <w:uiPriority w:val="39"/>
    <w:qFormat/>
    <w:pPr>
      <w:jc w:val="center"/>
      <w:spacing w:before="120" w:after="120"/>
      <w:tabs>
        <w:tab w:val="right" w:pos="9170" w:leader="dot"/>
      </w:tabs>
    </w:pPr>
    <w:rPr>
      <w:rFonts w:eastAsia="文鼎小标宋简"/>
      <w:caps/>
      <w:sz w:val="32"/>
      <w:szCs w:val="32"/>
    </w:rPr>
  </w:style>
  <w:style w:type="paragraph" w:styleId="1291" w:customStyle="1">
    <w:name w:val="副标题1"/>
    <w:basedOn w:val="1020"/>
    <w:next w:val="1020"/>
    <w:link w:val="1292"/>
    <w:uiPriority w:val="0"/>
    <w:qFormat/>
    <w:pPr>
      <w:jc w:val="center"/>
      <w:spacing w:before="240" w:after="60" w:line="312" w:lineRule="auto"/>
      <w:outlineLvl w:val="1"/>
    </w:pPr>
    <w:rPr>
      <w:rFonts w:ascii="Cambria" w:hAnsi="Cambria" w:eastAsia="宋体"/>
      <w:b/>
      <w:bCs/>
      <w:sz w:val="32"/>
      <w:szCs w:val="32"/>
    </w:rPr>
  </w:style>
  <w:style w:type="character" w:styleId="1292" w:customStyle="1">
    <w:name w:val="副标题 字符"/>
    <w:link w:val="1291"/>
    <w:uiPriority w:val="0"/>
    <w:qFormat/>
    <w:rPr>
      <w:rFonts w:ascii="Cambria" w:hAnsi="Cambria" w:eastAsia="宋体" w:cs="Times New Roman"/>
      <w:b/>
      <w:bCs/>
      <w:sz w:val="32"/>
      <w:szCs w:val="32"/>
    </w:rPr>
  </w:style>
  <w:style w:type="paragraph" w:styleId="1293" w:customStyle="1">
    <w:name w:val="列表1"/>
    <w:basedOn w:val="1020"/>
    <w:uiPriority w:val="0"/>
    <w:qFormat/>
    <w:pPr>
      <w:ind w:left="420" w:hanging="420"/>
      <w:spacing w:after="20" w:line="288" w:lineRule="auto"/>
      <w:tabs>
        <w:tab w:val="left" w:pos="420" w:leader="none"/>
      </w:tabs>
    </w:pPr>
    <w:rPr>
      <w:rFonts w:ascii="Times New Roman" w:hAnsi="Times New Roman" w:eastAsia="宋体"/>
      <w:szCs w:val="20"/>
      <w:lang w:val="en-GB"/>
    </w:rPr>
  </w:style>
  <w:style w:type="paragraph" w:styleId="1294" w:customStyle="1">
    <w:name w:val="脚注文本1"/>
    <w:basedOn w:val="1020"/>
    <w:link w:val="1295"/>
    <w:uiPriority w:val="0"/>
    <w:qFormat/>
    <w:pPr>
      <w:jc w:val="left"/>
      <w:spacing w:line="312" w:lineRule="atLeast"/>
    </w:pPr>
    <w:rPr>
      <w:rFonts w:ascii="Times New Roman" w:hAnsi="Times New Roman" w:eastAsia="宋体"/>
      <w:sz w:val="18"/>
      <w:szCs w:val="20"/>
    </w:rPr>
  </w:style>
  <w:style w:type="character" w:styleId="1295" w:customStyle="1">
    <w:name w:val="脚注文本 字符"/>
    <w:link w:val="1294"/>
    <w:uiPriority w:val="0"/>
    <w:qFormat/>
    <w:rPr>
      <w:rFonts w:ascii="Times New Roman" w:hAnsi="Times New Roman" w:eastAsia="宋体" w:cs="Times New Roman"/>
      <w:sz w:val="18"/>
      <w:szCs w:val="20"/>
    </w:rPr>
  </w:style>
  <w:style w:type="paragraph" w:styleId="1296" w:customStyle="1">
    <w:name w:val="正文文本缩进 31"/>
    <w:basedOn w:val="1020"/>
    <w:link w:val="1297"/>
    <w:uiPriority w:val="99"/>
    <w:qFormat/>
    <w:pPr>
      <w:ind w:firstLine="540"/>
      <w:spacing w:line="360" w:lineRule="auto"/>
      <w:widowControl/>
    </w:pPr>
    <w:rPr>
      <w:rFonts w:ascii="宋体" w:hAnsi="MS Sans Serif" w:eastAsia="宋体"/>
      <w:color w:val="000000"/>
      <w:sz w:val="24"/>
      <w:szCs w:val="20"/>
    </w:rPr>
  </w:style>
  <w:style w:type="character" w:styleId="1297" w:customStyle="1">
    <w:name w:val="正文文本缩进 3 字符2"/>
    <w:link w:val="1296"/>
    <w:uiPriority w:val="99"/>
    <w:qFormat/>
    <w:rPr>
      <w:rFonts w:ascii="宋体" w:hAnsi="MS Sans Serif" w:eastAsia="宋体" w:cs="Times New Roman"/>
      <w:color w:val="000000"/>
      <w:sz w:val="24"/>
      <w:szCs w:val="20"/>
    </w:rPr>
  </w:style>
  <w:style w:type="paragraph" w:styleId="1298" w:customStyle="1">
    <w:name w:val="正文文本 21"/>
    <w:basedOn w:val="1020"/>
    <w:link w:val="1299"/>
    <w:uiPriority w:val="0"/>
    <w:qFormat/>
    <w:pPr>
      <w:spacing w:line="360" w:lineRule="auto"/>
      <w:tabs>
        <w:tab w:val="left" w:pos="540" w:leader="none"/>
      </w:tabs>
    </w:pPr>
    <w:rPr>
      <w:rFonts w:ascii="宋体" w:eastAsia="宋体"/>
      <w:color w:val="000000"/>
      <w:sz w:val="28"/>
      <w:szCs w:val="20"/>
    </w:rPr>
  </w:style>
  <w:style w:type="character" w:styleId="1299" w:customStyle="1">
    <w:name w:val="正文文本 2 字符"/>
    <w:link w:val="1298"/>
    <w:uiPriority w:val="0"/>
    <w:qFormat/>
    <w:rPr>
      <w:rFonts w:ascii="宋体" w:eastAsia="宋体" w:cs="Times New Roman"/>
      <w:color w:val="000000"/>
      <w:sz w:val="28"/>
      <w:szCs w:val="20"/>
    </w:rPr>
  </w:style>
  <w:style w:type="paragraph" w:styleId="1300" w:customStyle="1">
    <w:name w:val="普通(网站)1"/>
    <w:basedOn w:val="1020"/>
    <w:uiPriority w:val="99"/>
    <w:qFormat/>
    <w:pPr>
      <w:jc w:val="left"/>
      <w:spacing w:before="100" w:beforeAutospacing="1" w:after="100" w:afterAutospacing="1"/>
      <w:widowControl/>
    </w:pPr>
    <w:rPr>
      <w:rFonts w:ascii="宋体" w:hAnsi="宋体" w:eastAsia="宋体" w:cs="宋体"/>
      <w:sz w:val="24"/>
      <w:szCs w:val="24"/>
    </w:rPr>
  </w:style>
  <w:style w:type="paragraph" w:styleId="1301" w:customStyle="1">
    <w:name w:val="标题1"/>
    <w:basedOn w:val="1020"/>
    <w:next w:val="1020"/>
    <w:link w:val="1302"/>
    <w:uiPriority w:val="10"/>
    <w:qFormat/>
    <w:pPr>
      <w:jc w:val="center"/>
      <w:spacing w:before="240" w:after="60"/>
      <w:outlineLvl w:val="0"/>
    </w:pPr>
    <w:rPr>
      <w:rFonts w:ascii="Cambria" w:hAnsi="Cambria" w:eastAsia="宋体"/>
      <w:b/>
      <w:bCs/>
      <w:sz w:val="32"/>
      <w:szCs w:val="32"/>
    </w:rPr>
  </w:style>
  <w:style w:type="character" w:styleId="1302" w:customStyle="1">
    <w:name w:val="标题 字符"/>
    <w:link w:val="1301"/>
    <w:uiPriority w:val="10"/>
    <w:qFormat/>
    <w:rPr>
      <w:rFonts w:ascii="Cambria" w:hAnsi="Cambria" w:eastAsia="宋体" w:cs="Times New Roman"/>
      <w:b/>
      <w:bCs/>
      <w:sz w:val="32"/>
      <w:szCs w:val="32"/>
    </w:rPr>
  </w:style>
  <w:style w:type="paragraph" w:styleId="1303" w:customStyle="1">
    <w:name w:val="批注主题1"/>
    <w:basedOn w:val="1264"/>
    <w:next w:val="1264"/>
    <w:link w:val="1304"/>
    <w:uiPriority w:val="99"/>
    <w:qFormat/>
    <w:pPr>
      <w:spacing w:line="240" w:lineRule="auto"/>
    </w:pPr>
    <w:rPr>
      <w:b/>
      <w:bCs/>
      <w:sz w:val="21"/>
    </w:rPr>
  </w:style>
  <w:style w:type="character" w:styleId="1304" w:customStyle="1">
    <w:name w:val="批注主题 字符2"/>
    <w:link w:val="1303"/>
    <w:uiPriority w:val="99"/>
    <w:qFormat/>
    <w:rPr>
      <w:rFonts w:ascii="Times New Roman" w:hAnsi="Times New Roman" w:eastAsia="宋体" w:cs="Times New Roman"/>
      <w:b/>
      <w:bCs/>
      <w:szCs w:val="20"/>
    </w:rPr>
  </w:style>
  <w:style w:type="paragraph" w:styleId="1305" w:customStyle="1">
    <w:name w:val="正文首行缩进 21"/>
    <w:basedOn w:val="1272"/>
    <w:link w:val="1306"/>
    <w:uiPriority w:val="99"/>
    <w:unhideWhenUsed/>
    <w:qFormat/>
    <w:pPr>
      <w:ind w:left="420" w:firstLine="420"/>
      <w:spacing w:after="120" w:line="240" w:lineRule="auto"/>
      <w:widowControl w:val="off"/>
    </w:pPr>
    <w:rPr>
      <w:rFonts w:ascii="等线" w:hAnsi="等线" w:eastAsia="等线"/>
      <w:spacing w:val="0"/>
      <w:sz w:val="21"/>
      <w:szCs w:val="22"/>
    </w:rPr>
  </w:style>
  <w:style w:type="character" w:styleId="1306" w:customStyle="1">
    <w:name w:val="正文首行缩进 2 字符"/>
    <w:basedOn w:val="1274"/>
    <w:link w:val="1305"/>
    <w:uiPriority w:val="99"/>
    <w:semiHidden/>
    <w:qFormat/>
    <w:rPr>
      <w:rFonts w:ascii="宋体" w:hAnsi="MS Sans Serif" w:eastAsia="宋体" w:cs="Times New Roman"/>
      <w:spacing w:val="12"/>
      <w:sz w:val="24"/>
      <w:szCs w:val="20"/>
    </w:rPr>
  </w:style>
  <w:style w:type="table" w:styleId="1307" w:customStyle="1">
    <w:name w:val="网格型11"/>
    <w:basedOn w:val="1250"/>
    <w:uiPriority w:val="99"/>
    <w:unhideWhenUsed/>
    <w:qFormat/>
    <w:tblPr/>
  </w:style>
  <w:style w:type="character" w:styleId="1308" w:customStyle="1">
    <w:name w:val="要点1"/>
    <w:uiPriority w:val="0"/>
    <w:qFormat/>
    <w:rPr>
      <w:b/>
      <w:bCs/>
    </w:rPr>
  </w:style>
  <w:style w:type="character" w:styleId="1309" w:customStyle="1">
    <w:name w:val="页码1"/>
    <w:uiPriority w:val="0"/>
    <w:qFormat/>
  </w:style>
  <w:style w:type="character" w:styleId="1310" w:customStyle="1">
    <w:name w:val="已访问的超链接1"/>
    <w:uiPriority w:val="99"/>
    <w:qFormat/>
    <w:rPr>
      <w:color w:val="000000"/>
      <w:u w:val="none"/>
    </w:rPr>
  </w:style>
  <w:style w:type="character" w:styleId="1311" w:customStyle="1">
    <w:name w:val="强调1"/>
    <w:uiPriority w:val="0"/>
    <w:qFormat/>
  </w:style>
  <w:style w:type="character" w:styleId="1312" w:customStyle="1">
    <w:name w:val="HTML 打字机1"/>
    <w:link w:val="1020"/>
    <w:uiPriority w:val="0"/>
    <w:qFormat/>
    <w:rPr>
      <w:rFonts w:ascii="等线" w:hAnsi="等线" w:eastAsia="等线" w:cs="Times New Roman"/>
      <w:sz w:val="21"/>
      <w:szCs w:val="22"/>
      <w:lang w:val="en-US" w:eastAsia="zh-CN" w:bidi="ar-SA"/>
    </w:rPr>
  </w:style>
  <w:style w:type="character" w:styleId="1313" w:customStyle="1">
    <w:name w:val="超链接1"/>
    <w:uiPriority w:val="99"/>
    <w:qFormat/>
    <w:rPr>
      <w:color w:val="000000"/>
      <w:u w:val="none"/>
    </w:rPr>
  </w:style>
  <w:style w:type="character" w:styleId="1314" w:customStyle="1">
    <w:name w:val="HTML 代码1"/>
    <w:uiPriority w:val="0"/>
    <w:qFormat/>
    <w:rPr>
      <w:rFonts w:ascii="Courier New" w:hAnsi="Courier New"/>
      <w:sz w:val="20"/>
    </w:rPr>
  </w:style>
  <w:style w:type="character" w:styleId="1315" w:customStyle="1">
    <w:name w:val="批注引用1"/>
    <w:uiPriority w:val="99"/>
    <w:qFormat/>
    <w:rPr>
      <w:sz w:val="21"/>
      <w:szCs w:val="21"/>
    </w:rPr>
  </w:style>
  <w:style w:type="character" w:styleId="1316" w:customStyle="1">
    <w:name w:val="正文首行缩进 Char"/>
    <w:link w:val="1269"/>
    <w:uiPriority w:val="99"/>
    <w:semiHidden/>
    <w:qFormat/>
    <w:rPr>
      <w:rFonts w:ascii="Times New Roman" w:hAnsi="Times New Roman" w:eastAsia="华文中宋" w:cs="Times New Roman"/>
      <w:sz w:val="21"/>
      <w:szCs w:val="20"/>
    </w:rPr>
  </w:style>
  <w:style w:type="character" w:styleId="1317" w:customStyle="1">
    <w:name w:val="标题 1 字符"/>
    <w:uiPriority w:val="0"/>
    <w:qFormat/>
    <w:rPr>
      <w:b/>
      <w:bCs/>
      <w:sz w:val="44"/>
      <w:szCs w:val="44"/>
    </w:rPr>
  </w:style>
  <w:style w:type="character" w:styleId="1318" w:customStyle="1">
    <w:name w:val="标题 2 字符"/>
    <w:uiPriority w:val="0"/>
    <w:qFormat/>
    <w:rPr>
      <w:rFonts w:ascii="等线 Light" w:hAnsi="等线 Light" w:eastAsia="等线 Light" w:cs="Times New Roman"/>
      <w:b/>
      <w:bCs/>
      <w:sz w:val="32"/>
      <w:szCs w:val="32"/>
    </w:rPr>
  </w:style>
  <w:style w:type="character" w:styleId="1319" w:customStyle="1">
    <w:name w:val="标题 3 字符"/>
    <w:uiPriority w:val="0"/>
    <w:qFormat/>
    <w:rPr>
      <w:b/>
      <w:bCs/>
      <w:sz w:val="32"/>
      <w:szCs w:val="32"/>
    </w:rPr>
  </w:style>
  <w:style w:type="character" w:styleId="1320" w:customStyle="1">
    <w:name w:val="标题 4 字符"/>
    <w:uiPriority w:val="0"/>
    <w:qFormat/>
    <w:rPr>
      <w:rFonts w:ascii="等线 Light" w:hAnsi="等线 Light" w:eastAsia="等线 Light" w:cs="Times New Roman"/>
      <w:b/>
      <w:bCs/>
      <w:sz w:val="28"/>
      <w:szCs w:val="28"/>
    </w:rPr>
  </w:style>
  <w:style w:type="character" w:styleId="1321" w:customStyle="1">
    <w:name w:val="标题 5 字符"/>
    <w:uiPriority w:val="0"/>
    <w:qFormat/>
    <w:rPr>
      <w:b/>
      <w:bCs/>
      <w:sz w:val="28"/>
      <w:szCs w:val="28"/>
    </w:rPr>
  </w:style>
  <w:style w:type="character" w:styleId="1322" w:customStyle="1">
    <w:name w:val="标题 6 字符"/>
    <w:uiPriority w:val="0"/>
    <w:qFormat/>
    <w:rPr>
      <w:rFonts w:ascii="等线 Light" w:hAnsi="等线 Light" w:eastAsia="等线 Light" w:cs="Times New Roman"/>
      <w:b/>
      <w:bCs/>
      <w:sz w:val="24"/>
      <w:szCs w:val="24"/>
    </w:rPr>
  </w:style>
  <w:style w:type="character" w:styleId="1323" w:customStyle="1">
    <w:name w:val="标题 7 字符"/>
    <w:uiPriority w:val="0"/>
    <w:qFormat/>
    <w:rPr>
      <w:b/>
      <w:bCs/>
      <w:sz w:val="24"/>
      <w:szCs w:val="24"/>
    </w:rPr>
  </w:style>
  <w:style w:type="character" w:styleId="1324" w:customStyle="1">
    <w:name w:val="标题 8 字符"/>
    <w:uiPriority w:val="0"/>
    <w:qFormat/>
    <w:rPr>
      <w:rFonts w:ascii="等线 Light" w:hAnsi="等线 Light" w:eastAsia="等线 Light" w:cs="Times New Roman"/>
      <w:sz w:val="24"/>
      <w:szCs w:val="24"/>
    </w:rPr>
  </w:style>
  <w:style w:type="character" w:styleId="1325" w:customStyle="1">
    <w:name w:val="标题 9 字符"/>
    <w:uiPriority w:val="0"/>
    <w:qFormat/>
    <w:rPr>
      <w:rFonts w:ascii="等线 Light" w:hAnsi="等线 Light" w:eastAsia="等线 Light" w:cs="Times New Roman"/>
      <w:szCs w:val="21"/>
    </w:rPr>
  </w:style>
  <w:style w:type="paragraph" w:styleId="1326" w:customStyle="1">
    <w:name w:val="_Style 39"/>
    <w:basedOn w:val="1020"/>
    <w:next w:val="1327"/>
    <w:uiPriority w:val="34"/>
    <w:qFormat/>
    <w:pPr>
      <w:ind w:firstLine="420"/>
    </w:pPr>
    <w:rPr>
      <w:rFonts w:ascii="Times New Roman" w:hAnsi="Times New Roman" w:eastAsia="宋体"/>
      <w:szCs w:val="24"/>
    </w:rPr>
  </w:style>
  <w:style w:type="paragraph" w:styleId="1327" w:customStyle="1">
    <w:name w:val="列出段落2"/>
    <w:basedOn w:val="1020"/>
    <w:link w:val="1328"/>
    <w:uiPriority w:val="34"/>
    <w:qFormat/>
    <w:pPr>
      <w:ind w:firstLine="420"/>
    </w:pPr>
    <w:rPr>
      <w:szCs w:val="24"/>
    </w:rPr>
  </w:style>
  <w:style w:type="character" w:styleId="1328" w:customStyle="1">
    <w:name w:val="列表段落 字符"/>
    <w:link w:val="1327"/>
    <w:uiPriority w:val="34"/>
    <w:qFormat/>
    <w:rPr>
      <w:sz w:val="21"/>
      <w:szCs w:val="24"/>
    </w:rPr>
  </w:style>
  <w:style w:type="character" w:styleId="1329" w:customStyle="1">
    <w:name w:val="文档结构图 字符"/>
    <w:uiPriority w:val="0"/>
    <w:qFormat/>
    <w:rPr>
      <w:rFonts w:ascii="Microsoft YaHei UI" w:eastAsia="Microsoft YaHei UI"/>
      <w:sz w:val="18"/>
      <w:szCs w:val="18"/>
    </w:rPr>
  </w:style>
  <w:style w:type="character" w:styleId="1330" w:customStyle="1">
    <w:name w:val="批注文字 字符"/>
    <w:basedOn w:val="1249"/>
    <w:uiPriority w:val="0"/>
    <w:qFormat/>
  </w:style>
  <w:style w:type="character" w:styleId="1331" w:customStyle="1">
    <w:name w:val="正文文本 字符"/>
    <w:basedOn w:val="1249"/>
    <w:uiPriority w:val="0"/>
    <w:qFormat/>
  </w:style>
  <w:style w:type="character" w:styleId="1332" w:customStyle="1">
    <w:name w:val="正文文本缩进 字符"/>
    <w:basedOn w:val="1249"/>
    <w:uiPriority w:val="0"/>
    <w:qFormat/>
  </w:style>
  <w:style w:type="paragraph" w:styleId="1333"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34" w:customStyle="1">
    <w:name w:val="纯文本 字符"/>
    <w:uiPriority w:val="0"/>
    <w:qFormat/>
    <w:rPr>
      <w:rFonts w:ascii="等线" w:hAnsi="Courier New" w:cs="Courier New"/>
    </w:rPr>
  </w:style>
  <w:style w:type="character" w:styleId="1335" w:customStyle="1">
    <w:name w:val="日期 字符"/>
    <w:basedOn w:val="1249"/>
    <w:uiPriority w:val="0"/>
    <w:qFormat/>
  </w:style>
  <w:style w:type="character" w:styleId="1336" w:customStyle="1">
    <w:name w:val="正文文本缩进 2 字符"/>
    <w:basedOn w:val="1249"/>
    <w:uiPriority w:val="0"/>
    <w:qFormat/>
  </w:style>
  <w:style w:type="character" w:styleId="1337" w:customStyle="1">
    <w:name w:val="批注框文本 字符"/>
    <w:uiPriority w:val="0"/>
    <w:qFormat/>
    <w:rPr>
      <w:sz w:val="18"/>
      <w:szCs w:val="18"/>
    </w:rPr>
  </w:style>
  <w:style w:type="character" w:styleId="1338" w:customStyle="1">
    <w:name w:val="页脚 字符2"/>
    <w:uiPriority w:val="99"/>
    <w:qFormat/>
    <w:rPr>
      <w:sz w:val="18"/>
      <w:szCs w:val="18"/>
    </w:rPr>
  </w:style>
  <w:style w:type="character" w:styleId="1339" w:customStyle="1">
    <w:name w:val="页眉 字符2"/>
    <w:uiPriority w:val="99"/>
    <w:qFormat/>
    <w:rPr>
      <w:sz w:val="18"/>
      <w:szCs w:val="18"/>
    </w:rPr>
  </w:style>
  <w:style w:type="character" w:styleId="1340" w:customStyle="1">
    <w:name w:val="正文文本缩进 3 字符"/>
    <w:uiPriority w:val="0"/>
    <w:qFormat/>
    <w:rPr>
      <w:sz w:val="16"/>
      <w:szCs w:val="16"/>
    </w:rPr>
  </w:style>
  <w:style w:type="character" w:styleId="1341" w:customStyle="1">
    <w:name w:val="批注主题 字符"/>
    <w:uiPriority w:val="0"/>
    <w:qFormat/>
    <w:rPr>
      <w:b/>
      <w:bCs/>
    </w:rPr>
  </w:style>
  <w:style w:type="character" w:styleId="1342" w:customStyle="1">
    <w:name w:val="正文文本首行缩进 字符1"/>
    <w:uiPriority w:val="0"/>
    <w:qFormat/>
    <w:rPr>
      <w:sz w:val="21"/>
    </w:rPr>
  </w:style>
  <w:style w:type="character" w:styleId="1343" w:customStyle="1">
    <w:name w:val="正文文本首行缩进 2 字符"/>
    <w:uiPriority w:val="0"/>
    <w:qFormat/>
  </w:style>
  <w:style w:type="character" w:styleId="1344" w:customStyle="1">
    <w:name w:val="Comment Text Char1"/>
    <w:uiPriority w:val="0"/>
    <w:qFormat/>
    <w:rPr>
      <w:sz w:val="24"/>
      <w:lang w:bidi="ar-SA"/>
    </w:rPr>
  </w:style>
  <w:style w:type="character" w:styleId="1345" w:customStyle="1">
    <w:name w:val="Footnote Text Char"/>
    <w:uiPriority w:val="0"/>
    <w:qFormat/>
    <w:rPr>
      <w:rFonts w:eastAsia="宋体"/>
      <w:sz w:val="18"/>
      <w:lang w:val="en-US" w:eastAsia="zh-CN" w:bidi="ar-SA"/>
    </w:rPr>
  </w:style>
  <w:style w:type="character" w:styleId="1346" w:customStyle="1">
    <w:name w:val="font131"/>
    <w:uiPriority w:val="0"/>
    <w:qFormat/>
    <w:rPr>
      <w:rFonts w:ascii="Times New Roman" w:hAnsi="Times New Roman" w:cs="Times New Roman"/>
      <w:color w:val="000000"/>
      <w:sz w:val="20"/>
      <w:szCs w:val="20"/>
      <w:u w:val="none"/>
      <w:vertAlign w:val="superscript"/>
    </w:rPr>
  </w:style>
  <w:style w:type="character" w:styleId="1347" w:customStyle="1">
    <w:name w:val="Plain Text Char"/>
    <w:uiPriority w:val="0"/>
    <w:qFormat/>
    <w:rPr>
      <w:rFonts w:ascii="宋体" w:hAnsi="Courier New" w:eastAsia="宋体"/>
      <w:sz w:val="24"/>
      <w:lang w:bidi="ar-SA"/>
    </w:rPr>
  </w:style>
  <w:style w:type="character" w:styleId="1348" w:customStyle="1">
    <w:name w:val="正文文本 (5) Exact"/>
    <w:link w:val="1349"/>
    <w:uiPriority w:val="0"/>
    <w:qFormat/>
    <w:rPr>
      <w:rFonts w:ascii="仿宋" w:eastAsia="仿宋"/>
      <w:sz w:val="19"/>
      <w:szCs w:val="19"/>
      <w:shd w:val="clear" w:color="auto" w:fill="ffffff"/>
      <w:lang w:eastAsia="en-US"/>
    </w:rPr>
  </w:style>
  <w:style w:type="paragraph" w:styleId="1349" w:customStyle="1">
    <w:name w:val="正文文本 (5)"/>
    <w:basedOn w:val="1020"/>
    <w:link w:val="1348"/>
    <w:uiPriority w:val="0"/>
    <w:qFormat/>
    <w:pPr>
      <w:jc w:val="left"/>
      <w:spacing w:line="240" w:lineRule="atLeast"/>
      <w:shd w:val="clear" w:color="auto" w:fill="ffffff"/>
    </w:pPr>
    <w:rPr>
      <w:rFonts w:ascii="仿宋" w:eastAsia="仿宋"/>
      <w:sz w:val="19"/>
      <w:szCs w:val="19"/>
      <w:lang w:eastAsia="en-US"/>
    </w:rPr>
  </w:style>
  <w:style w:type="character" w:styleId="1350" w:customStyle="1">
    <w:name w:val="页眉 Char"/>
    <w:uiPriority w:val="99"/>
    <w:qFormat/>
    <w:rPr>
      <w:sz w:val="18"/>
      <w:szCs w:val="18"/>
    </w:rPr>
  </w:style>
  <w:style w:type="character" w:styleId="1351" w:customStyle="1">
    <w:name w:val="标题 1 Char1"/>
    <w:uiPriority w:val="0"/>
    <w:qFormat/>
    <w:rPr>
      <w:rFonts w:ascii="Calibri" w:hAnsi="Calibri" w:eastAsia="宋体" w:cs="Arial"/>
      <w:b/>
      <w:sz w:val="44"/>
      <w:szCs w:val="20"/>
    </w:rPr>
  </w:style>
  <w:style w:type="character" w:styleId="1352" w:customStyle="1">
    <w:name w:val="明显强调1"/>
    <w:uiPriority w:val="0"/>
    <w:qFormat/>
    <w:rPr>
      <w:b/>
      <w:bCs/>
      <w:i/>
      <w:iCs/>
      <w:color w:val="4f81bd"/>
    </w:rPr>
  </w:style>
  <w:style w:type="character" w:styleId="1353" w:customStyle="1">
    <w:name w:val="纯文本 Char1"/>
    <w:uiPriority w:val="0"/>
    <w:qFormat/>
    <w:rPr>
      <w:rFonts w:ascii="宋体" w:hAnsi="Courier New"/>
      <w:sz w:val="21"/>
    </w:rPr>
  </w:style>
  <w:style w:type="character" w:styleId="1354" w:customStyle="1">
    <w:name w:val="yf00正文 字符"/>
    <w:link w:val="1355"/>
    <w:uiPriority w:val="0"/>
    <w:qFormat/>
    <w:rPr>
      <w:rFonts w:ascii="宋体" w:hAnsi="宋体"/>
      <w:sz w:val="24"/>
      <w:szCs w:val="21"/>
    </w:rPr>
  </w:style>
  <w:style w:type="paragraph" w:styleId="1355" w:customStyle="1">
    <w:name w:val="yf00正文"/>
    <w:basedOn w:val="1020"/>
    <w:link w:val="1354"/>
    <w:uiPriority w:val="0"/>
    <w:qFormat/>
    <w:pPr>
      <w:ind w:firstLine="480"/>
      <w:spacing w:after="160" w:line="360" w:lineRule="auto"/>
    </w:pPr>
    <w:rPr>
      <w:rFonts w:ascii="宋体" w:hAnsi="宋体"/>
      <w:sz w:val="24"/>
      <w:szCs w:val="21"/>
    </w:rPr>
  </w:style>
  <w:style w:type="character" w:styleId="1356" w:customStyle="1">
    <w:name w:val="font101"/>
    <w:uiPriority w:val="0"/>
    <w:qFormat/>
    <w:rPr>
      <w:rFonts w:hint="eastAsia" w:ascii="宋体" w:hAnsi="宋体" w:eastAsia="宋体" w:cs="宋体"/>
      <w:color w:val="000000"/>
      <w:sz w:val="18"/>
      <w:szCs w:val="18"/>
      <w:u w:val="none"/>
    </w:rPr>
  </w:style>
  <w:style w:type="character" w:styleId="1357" w:customStyle="1">
    <w:name w:val="Header Char"/>
    <w:uiPriority w:val="0"/>
    <w:qFormat/>
    <w:rPr>
      <w:rFonts w:eastAsia="宋体"/>
      <w:sz w:val="18"/>
      <w:szCs w:val="18"/>
      <w:lang w:val="en-US" w:eastAsia="zh-CN" w:bidi="ar-SA"/>
    </w:rPr>
  </w:style>
  <w:style w:type="character" w:styleId="1358" w:customStyle="1">
    <w:name w:val="批注文字 Char Char"/>
    <w:uiPriority w:val="0"/>
    <w:qFormat/>
    <w:rPr>
      <w:rFonts w:ascii="宋体" w:hAnsi="Times New Roman" w:eastAsia="宋体" w:cs="Times New Roman"/>
      <w:sz w:val="28"/>
      <w:szCs w:val="20"/>
    </w:rPr>
  </w:style>
  <w:style w:type="character" w:styleId="1359" w:customStyle="1">
    <w:name w:val="fontstyle01"/>
    <w:uiPriority w:val="0"/>
    <w:qFormat/>
    <w:rPr>
      <w:rFonts w:ascii="MicrosoftYaHei-Identity-H" w:hAnsi="MicrosoftYaHei-Identity-H"/>
      <w:color w:val="231916"/>
      <w:sz w:val="22"/>
      <w:szCs w:val="22"/>
    </w:rPr>
  </w:style>
  <w:style w:type="character" w:styleId="1360" w:customStyle="1">
    <w:name w:val="font91"/>
    <w:basedOn w:val="1030"/>
    <w:uiPriority w:val="0"/>
    <w:qFormat/>
    <w:rPr>
      <w:rFonts w:hint="eastAsia" w:ascii="宋体" w:hAnsi="宋体" w:eastAsia="宋体" w:cs="宋体"/>
      <w:b/>
      <w:bCs/>
      <w:color w:val="000000"/>
      <w:sz w:val="24"/>
      <w:szCs w:val="24"/>
      <w:u w:val="none"/>
    </w:rPr>
  </w:style>
  <w:style w:type="character" w:styleId="1361" w:customStyle="1">
    <w:name w:val="font111"/>
    <w:uiPriority w:val="0"/>
    <w:qFormat/>
    <w:rPr>
      <w:rFonts w:hint="eastAsia" w:ascii="宋体" w:hAnsi="宋体" w:eastAsia="宋体" w:cs="宋体"/>
      <w:color w:val="000000"/>
      <w:sz w:val="20"/>
      <w:szCs w:val="20"/>
      <w:u w:val="none"/>
    </w:rPr>
  </w:style>
  <w:style w:type="character" w:styleId="1362" w:customStyle="1">
    <w:name w:val="tit12"/>
    <w:uiPriority w:val="0"/>
    <w:qFormat/>
    <w:rPr>
      <w:color w:val="db2200"/>
    </w:rPr>
  </w:style>
  <w:style w:type="character" w:styleId="1363" w:customStyle="1">
    <w:name w:val="批注文字 Char1"/>
    <w:uiPriority w:val="0"/>
    <w:qFormat/>
    <w:rPr>
      <w:rFonts w:ascii="Times New Roman" w:hAnsi="Times New Roman" w:eastAsia="宋体" w:cs="Times New Roman"/>
      <w:sz w:val="20"/>
      <w:szCs w:val="20"/>
    </w:rPr>
  </w:style>
  <w:style w:type="character" w:styleId="1364" w:customStyle="1">
    <w:name w:val="CITE"/>
    <w:uiPriority w:val="0"/>
    <w:qFormat/>
    <w:rPr>
      <w:i/>
    </w:rPr>
  </w:style>
  <w:style w:type="character" w:styleId="1365" w:customStyle="1">
    <w:name w:val="标题5 Char Char"/>
    <w:link w:val="1366"/>
    <w:uiPriority w:val="0"/>
    <w:qFormat/>
    <w:rPr>
      <w:rFonts w:ascii="Arial" w:hAnsi="Arial"/>
      <w:b/>
      <w:bCs/>
      <w:sz w:val="24"/>
      <w:szCs w:val="32"/>
    </w:rPr>
  </w:style>
  <w:style w:type="paragraph" w:styleId="1366" w:customStyle="1">
    <w:name w:val="标题5"/>
    <w:basedOn w:val="1120"/>
    <w:link w:val="1365"/>
    <w:uiPriority w:val="0"/>
    <w:qFormat/>
    <w:pPr>
      <w:ind w:left="0" w:firstLine="0"/>
      <w:jc w:val="both"/>
      <w:spacing w:before="260" w:after="260" w:line="413" w:lineRule="auto"/>
      <w:widowControl w:val="off"/>
      <w:tabs>
        <w:tab w:val="clear" w:pos="720" w:leader="none"/>
      </w:tabs>
    </w:pPr>
    <w:rPr>
      <w:rFonts w:ascii="Arial" w:hAnsi="Arial" w:eastAsia="等线"/>
      <w:bCs/>
      <w:sz w:val="24"/>
      <w:szCs w:val="32"/>
    </w:rPr>
  </w:style>
  <w:style w:type="character" w:styleId="1367" w:customStyle="1">
    <w:name w:val="Variable"/>
    <w:uiPriority w:val="0"/>
    <w:qFormat/>
    <w:rPr>
      <w:i/>
    </w:rPr>
  </w:style>
  <w:style w:type="character" w:styleId="1368" w:customStyle="1">
    <w:name w:val="超链接_0"/>
    <w:uiPriority w:val="99"/>
    <w:qFormat/>
    <w:rPr>
      <w:rFonts w:ascii="Calibri" w:hAnsi="Calibri" w:cs="Times New Roman"/>
      <w:color w:val="0000ff"/>
      <w:u w:val="single"/>
    </w:rPr>
  </w:style>
  <w:style w:type="character" w:styleId="1369" w:customStyle="1">
    <w:name w:val="15"/>
    <w:uiPriority w:val="0"/>
    <w:qFormat/>
    <w:rPr>
      <w:rFonts w:ascii="Arial" w:hAnsi="Arial" w:cs="Arial"/>
      <w:b/>
      <w:bCs/>
      <w:sz w:val="32"/>
      <w:szCs w:val="32"/>
    </w:rPr>
  </w:style>
  <w:style w:type="character" w:styleId="1370" w:customStyle="1">
    <w:name w:val="Char Char91"/>
    <w:uiPriority w:val="0"/>
    <w:qFormat/>
    <w:rPr>
      <w:rFonts w:eastAsia="宋体"/>
      <w:b/>
      <w:bCs/>
      <w:sz w:val="32"/>
      <w:szCs w:val="44"/>
      <w:lang w:val="en-US" w:eastAsia="zh-CN" w:bidi="ar-SA"/>
    </w:rPr>
  </w:style>
  <w:style w:type="character" w:styleId="1371" w:customStyle="1">
    <w:name w:val="正文缩进 字符"/>
    <w:uiPriority w:val="0"/>
    <w:qFormat/>
    <w:rPr>
      <w:szCs w:val="24"/>
    </w:rPr>
  </w:style>
  <w:style w:type="character" w:styleId="1372" w:customStyle="1">
    <w:name w:val="日期 Char1"/>
    <w:uiPriority w:val="0"/>
    <w:qFormat/>
    <w:rPr>
      <w:rFonts w:ascii="Times New Roman" w:hAnsi="Times New Roman" w:eastAsia="宋体" w:cs="Times New Roman"/>
      <w:szCs w:val="24"/>
    </w:rPr>
  </w:style>
  <w:style w:type="character" w:styleId="1373" w:customStyle="1">
    <w:name w:val="正文文本缩进 2 字符1"/>
    <w:uiPriority w:val="99"/>
    <w:semiHidden/>
    <w:qFormat/>
    <w:rPr>
      <w:sz w:val="21"/>
      <w:szCs w:val="24"/>
    </w:rPr>
  </w:style>
  <w:style w:type="character" w:styleId="1374" w:customStyle="1">
    <w:name w:val="正文文本首行缩进 2 字符1"/>
    <w:uiPriority w:val="99"/>
    <w:qFormat/>
    <w:rPr>
      <w:rFonts w:ascii="宋体" w:hAnsi="MS Sans Serif"/>
      <w:spacing w:val="12"/>
      <w:sz w:val="21"/>
    </w:rPr>
  </w:style>
  <w:style w:type="character" w:styleId="1375" w:customStyle="1">
    <w:name w:val="正文文本缩进 3 字符1"/>
    <w:uiPriority w:val="99"/>
    <w:semiHidden/>
    <w:qFormat/>
    <w:rPr>
      <w:sz w:val="16"/>
      <w:szCs w:val="16"/>
    </w:rPr>
  </w:style>
  <w:style w:type="character" w:styleId="1376" w:customStyle="1">
    <w:name w:val="more6"/>
    <w:uiPriority w:val="0"/>
    <w:qFormat/>
  </w:style>
  <w:style w:type="character" w:styleId="1377" w:customStyle="1">
    <w:name w:val="HTML Markup"/>
    <w:uiPriority w:val="0"/>
    <w:qFormat/>
    <w:rPr>
      <w:vanish/>
      <w:color w:val="ff0000"/>
    </w:rPr>
  </w:style>
  <w:style w:type="character" w:styleId="1378" w:customStyle="1">
    <w:name w:val="不明显参考1"/>
    <w:uiPriority w:val="0"/>
    <w:qFormat/>
    <w:rPr>
      <w:smallCaps/>
      <w:color w:val="c0504d"/>
      <w:u w:val="single"/>
    </w:rPr>
  </w:style>
  <w:style w:type="character" w:styleId="1379" w:customStyle="1">
    <w:name w:val="font151"/>
    <w:uiPriority w:val="0"/>
    <w:qFormat/>
    <w:rPr>
      <w:rFonts w:ascii="Wingdings 2" w:hAnsi="Wingdings 2" w:eastAsia="Wingdings 2" w:cs="Wingdings 2"/>
      <w:color w:val="000000"/>
      <w:sz w:val="20"/>
      <w:szCs w:val="20"/>
      <w:u w:val="none"/>
    </w:rPr>
  </w:style>
  <w:style w:type="character" w:styleId="1380" w:customStyle="1">
    <w:name w:val="样式 Char"/>
    <w:link w:val="1381"/>
    <w:uiPriority w:val="0"/>
    <w:qFormat/>
    <w:rPr>
      <w:rFonts w:ascii="宋体" w:hAnsi="宋体" w:cs="宋体"/>
      <w:sz w:val="24"/>
      <w:szCs w:val="24"/>
    </w:rPr>
  </w:style>
  <w:style w:type="paragraph" w:styleId="1381" w:customStyle="1">
    <w:name w:val="样式"/>
    <w:link w:val="1380"/>
    <w:uiPriority w:val="0"/>
    <w:qFormat/>
    <w:pPr>
      <w:widowControl w:val="off"/>
    </w:pPr>
    <w:rPr>
      <w:rFonts w:hint="default" w:ascii="宋体" w:hAnsi="宋体" w:eastAsia="等线" w:cs="宋体"/>
      <w:sz w:val="24"/>
      <w:szCs w:val="24"/>
      <w:lang w:val="en-US" w:eastAsia="zh-CN" w:bidi="ar-SA"/>
    </w:rPr>
  </w:style>
  <w:style w:type="character" w:styleId="1382" w:customStyle="1">
    <w:name w:val="明显引用 Char1"/>
    <w:uiPriority w:val="30"/>
    <w:qFormat/>
    <w:rPr>
      <w:rFonts w:ascii="Times New Roman" w:hAnsi="Times New Roman" w:eastAsia="宋体" w:cs="Times New Roman"/>
      <w:b/>
      <w:bCs/>
      <w:i/>
      <w:iCs/>
      <w:color w:val="4f81bd"/>
      <w:szCs w:val="24"/>
    </w:rPr>
  </w:style>
  <w:style w:type="character" w:styleId="1383" w:customStyle="1">
    <w:name w:val="Document Map Char"/>
    <w:uiPriority w:val="0"/>
    <w:qFormat/>
    <w:rPr>
      <w:rFonts w:eastAsia="宋体"/>
      <w:sz w:val="21"/>
      <w:szCs w:val="24"/>
      <w:lang w:val="en-US" w:eastAsia="zh-CN" w:bidi="ar-SA"/>
    </w:rPr>
  </w:style>
  <w:style w:type="character" w:styleId="1384" w:customStyle="1">
    <w:name w:val="副标题 Char1"/>
    <w:uiPriority w:val="0"/>
    <w:qFormat/>
    <w:rPr>
      <w:rFonts w:ascii="Cambria" w:hAnsi="Cambria" w:cs="Times New Roman"/>
      <w:b/>
      <w:bCs/>
      <w:sz w:val="32"/>
      <w:szCs w:val="32"/>
    </w:rPr>
  </w:style>
  <w:style w:type="character" w:styleId="1385" w:customStyle="1">
    <w:name w:val="正文文本首行缩进 字符"/>
    <w:uiPriority w:val="0"/>
    <w:qFormat/>
    <w:rPr>
      <w:rFonts w:ascii="华文中宋" w:eastAsia="华文中宋"/>
      <w:sz w:val="21"/>
    </w:rPr>
  </w:style>
  <w:style w:type="character" w:styleId="1386" w:customStyle="1">
    <w:name w:val="正文文本缩进 字符1"/>
    <w:uiPriority w:val="99"/>
    <w:semiHidden/>
    <w:qFormat/>
    <w:rPr>
      <w:sz w:val="21"/>
      <w:szCs w:val="24"/>
    </w:rPr>
  </w:style>
  <w:style w:type="character" w:styleId="1387" w:customStyle="1">
    <w:name w:val="CODE"/>
    <w:uiPriority w:val="0"/>
    <w:qFormat/>
    <w:rPr>
      <w:rFonts w:ascii="Courier New" w:hAnsi="Courier New"/>
      <w:sz w:val="20"/>
    </w:rPr>
  </w:style>
  <w:style w:type="character" w:styleId="1388" w:customStyle="1">
    <w:name w:val="正文文本缩进 Char1"/>
    <w:uiPriority w:val="0"/>
    <w:qFormat/>
    <w:rPr>
      <w:sz w:val="21"/>
      <w:szCs w:val="24"/>
    </w:rPr>
  </w:style>
  <w:style w:type="character" w:styleId="1389" w:customStyle="1">
    <w:name w:val="文档结构图 Char1"/>
    <w:uiPriority w:val="0"/>
    <w:qFormat/>
    <w:rPr>
      <w:rFonts w:ascii="宋体" w:hAnsi="Times New Roman" w:eastAsia="宋体" w:cs="Times New Roman"/>
      <w:sz w:val="18"/>
      <w:szCs w:val="18"/>
    </w:rPr>
  </w:style>
  <w:style w:type="character" w:styleId="1390" w:customStyle="1">
    <w:name w:val="明显参考1"/>
    <w:uiPriority w:val="0"/>
    <w:qFormat/>
    <w:rPr>
      <w:b/>
      <w:bCs/>
      <w:smallCaps/>
      <w:color w:val="c0504d"/>
      <w:spacing w:val="5"/>
      <w:u w:val="single"/>
    </w:rPr>
  </w:style>
  <w:style w:type="character" w:styleId="1391" w:customStyle="1">
    <w:name w:val="Body Text Indent 2 Char"/>
    <w:uiPriority w:val="0"/>
    <w:qFormat/>
    <w:rPr>
      <w:rFonts w:eastAsia="宋体"/>
      <w:sz w:val="21"/>
      <w:szCs w:val="24"/>
      <w:lang w:val="en-US" w:eastAsia="zh-CN" w:bidi="ar-SA"/>
    </w:rPr>
  </w:style>
  <w:style w:type="character" w:styleId="1392" w:customStyle="1">
    <w:name w:val="Comment Text Char"/>
    <w:uiPriority w:val="0"/>
    <w:qFormat/>
    <w:rPr>
      <w:rFonts w:cs="Times New Roman"/>
      <w:sz w:val="24"/>
      <w:szCs w:val="24"/>
    </w:rPr>
  </w:style>
  <w:style w:type="character" w:styleId="1393" w:customStyle="1">
    <w:name w:val="标题 Char1"/>
    <w:uiPriority w:val="10"/>
    <w:qFormat/>
    <w:rPr>
      <w:rFonts w:ascii="Cambria" w:hAnsi="Cambria" w:eastAsia="宋体" w:cs="Times New Roman"/>
      <w:b/>
      <w:bCs/>
      <w:sz w:val="32"/>
      <w:szCs w:val="32"/>
    </w:rPr>
  </w:style>
  <w:style w:type="character" w:styleId="1394" w:customStyle="1">
    <w:name w:val="批注框文本 字符1"/>
    <w:uiPriority w:val="99"/>
    <w:semiHidden/>
    <w:qFormat/>
    <w:rPr>
      <w:sz w:val="18"/>
      <w:szCs w:val="18"/>
    </w:rPr>
  </w:style>
  <w:style w:type="character" w:styleId="1395" w:customStyle="1">
    <w:name w:val="Footer Char"/>
    <w:uiPriority w:val="0"/>
    <w:qFormat/>
    <w:rPr>
      <w:rFonts w:eastAsia="宋体"/>
      <w:sz w:val="18"/>
      <w:szCs w:val="18"/>
      <w:lang w:val="en-US" w:eastAsia="zh-CN" w:bidi="ar-SA"/>
    </w:rPr>
  </w:style>
  <w:style w:type="character" w:styleId="1396" w:customStyle="1">
    <w:name w:val="正文文本 Char1"/>
    <w:uiPriority w:val="0"/>
    <w:qFormat/>
    <w:rPr>
      <w:sz w:val="21"/>
      <w:szCs w:val="22"/>
    </w:rPr>
  </w:style>
  <w:style w:type="character" w:styleId="1397" w:customStyle="1">
    <w:name w:val="font341"/>
    <w:uiPriority w:val="0"/>
    <w:qFormat/>
    <w:rPr>
      <w:rFonts w:ascii="Times New Roman" w:hAnsi="Times New Roman" w:cs="Times New Roman"/>
      <w:color w:val="000000"/>
      <w:sz w:val="20"/>
      <w:szCs w:val="20"/>
      <w:u w:val="none"/>
    </w:rPr>
  </w:style>
  <w:style w:type="character" w:styleId="1398" w:customStyle="1">
    <w:name w:val="Char Char21"/>
    <w:uiPriority w:val="0"/>
    <w:qFormat/>
    <w:rPr>
      <w:rFonts w:ascii="Arial" w:hAnsi="Arial" w:eastAsia="黑体" w:cs="Times New Roman"/>
      <w:b/>
      <w:bCs/>
      <w:sz w:val="32"/>
      <w:szCs w:val="32"/>
    </w:rPr>
  </w:style>
  <w:style w:type="character" w:styleId="1399" w:customStyle="1">
    <w:name w:val="Balloon Text Char"/>
    <w:uiPriority w:val="0"/>
    <w:qFormat/>
    <w:rPr>
      <w:sz w:val="18"/>
      <w:lang w:bidi="ar-SA"/>
    </w:rPr>
  </w:style>
  <w:style w:type="character" w:styleId="1400" w:customStyle="1">
    <w:name w:val="正文非缩进 Char1"/>
    <w:uiPriority w:val="0"/>
    <w:qFormat/>
  </w:style>
  <w:style w:type="character" w:styleId="1401" w:customStyle="1">
    <w:name w:val="标题 2 Char1"/>
    <w:uiPriority w:val="0"/>
    <w:qFormat/>
    <w:rPr>
      <w:rFonts w:ascii="Arial" w:hAnsi="Arial" w:eastAsia="黑体" w:cs="Calibri"/>
      <w:b/>
      <w:sz w:val="32"/>
      <w:szCs w:val="20"/>
    </w:rPr>
  </w:style>
  <w:style w:type="character" w:styleId="1402" w:customStyle="1">
    <w:name w:val="Heading 2 Char"/>
    <w:uiPriority w:val="0"/>
    <w:qFormat/>
    <w:rPr>
      <w:rFonts w:ascii="Arial" w:hAnsi="Arial" w:eastAsia="黑体"/>
      <w:b/>
      <w:bCs/>
      <w:sz w:val="32"/>
      <w:szCs w:val="32"/>
      <w:lang w:val="en-US" w:eastAsia="zh-CN" w:bidi="ar-SA"/>
    </w:rPr>
  </w:style>
  <w:style w:type="character" w:styleId="1403" w:customStyle="1">
    <w:name w:val="font141"/>
    <w:uiPriority w:val="0"/>
    <w:qFormat/>
    <w:rPr>
      <w:rFonts w:ascii="Times New Roman" w:hAnsi="Times New Roman" w:cs="Times New Roman"/>
      <w:color w:val="000000"/>
      <w:sz w:val="18"/>
      <w:szCs w:val="18"/>
      <w:u w:val="none"/>
    </w:rPr>
  </w:style>
  <w:style w:type="character" w:styleId="1404" w:customStyle="1">
    <w:name w:val="Char Char3"/>
    <w:uiPriority w:val="0"/>
    <w:qFormat/>
    <w:rPr>
      <w:rFonts w:ascii="黑体" w:hAnsi="宋体" w:eastAsia="黑体" w:cs="Arial"/>
      <w:b/>
      <w:bCs/>
      <w:sz w:val="24"/>
      <w:szCs w:val="24"/>
      <w:lang w:val="en-US" w:eastAsia="zh-CN" w:bidi="ar-SA"/>
    </w:rPr>
  </w:style>
  <w:style w:type="character" w:styleId="1405" w:customStyle="1">
    <w:name w:val="引用 字符"/>
    <w:link w:val="1406"/>
    <w:uiPriority w:val="0"/>
    <w:qFormat/>
    <w:rPr>
      <w:i/>
      <w:iCs/>
      <w:color w:val="000000"/>
    </w:rPr>
  </w:style>
  <w:style w:type="paragraph" w:styleId="1406" w:customStyle="1">
    <w:name w:val="引用1"/>
    <w:basedOn w:val="1020"/>
    <w:next w:val="1020"/>
    <w:link w:val="1405"/>
    <w:uiPriority w:val="0"/>
    <w:qFormat/>
    <w:rPr>
      <w:i/>
      <w:iCs/>
      <w:color w:val="000000"/>
    </w:rPr>
  </w:style>
  <w:style w:type="character" w:styleId="1407" w:customStyle="1">
    <w:name w:val="引用 字符1"/>
    <w:uiPriority w:val="29"/>
    <w:qFormat/>
    <w:rPr>
      <w:i/>
      <w:iCs/>
      <w:color w:val="404040"/>
    </w:rPr>
  </w:style>
  <w:style w:type="character" w:styleId="1408" w:customStyle="1">
    <w:name w:val="Date Char"/>
    <w:uiPriority w:val="0"/>
    <w:qFormat/>
    <w:rPr>
      <w:rFonts w:eastAsia="宋体"/>
      <w:sz w:val="21"/>
      <w:szCs w:val="24"/>
      <w:lang w:val="en-US" w:eastAsia="zh-CN" w:bidi="ar-SA"/>
    </w:rPr>
  </w:style>
  <w:style w:type="character" w:styleId="1409" w:customStyle="1">
    <w:name w:val="Char Char9"/>
    <w:uiPriority w:val="0"/>
    <w:qFormat/>
    <w:rPr>
      <w:rFonts w:eastAsia="宋体"/>
      <w:b/>
      <w:bCs/>
      <w:sz w:val="32"/>
      <w:szCs w:val="44"/>
      <w:lang w:val="en-US" w:eastAsia="zh-CN" w:bidi="ar-SA"/>
    </w:rPr>
  </w:style>
  <w:style w:type="character" w:styleId="1410" w:customStyle="1">
    <w:name w:val="font122"/>
    <w:uiPriority w:val="0"/>
    <w:qFormat/>
    <w:rPr>
      <w:rFonts w:hint="eastAsia" w:ascii="宋体" w:hAnsi="宋体" w:eastAsia="宋体" w:cs="宋体"/>
      <w:color w:val="000000"/>
      <w:sz w:val="20"/>
      <w:szCs w:val="20"/>
      <w:u w:val="none"/>
      <w:vertAlign w:val="superscript"/>
    </w:rPr>
  </w:style>
  <w:style w:type="character" w:styleId="1411" w:customStyle="1">
    <w:name w:val="页眉 字符1"/>
    <w:uiPriority w:val="99"/>
    <w:semiHidden/>
    <w:qFormat/>
    <w:rPr>
      <w:sz w:val="18"/>
      <w:szCs w:val="18"/>
    </w:rPr>
  </w:style>
  <w:style w:type="character" w:styleId="1412" w:customStyle="1">
    <w:name w:val="页脚 字符1"/>
    <w:uiPriority w:val="99"/>
    <w:semiHidden/>
    <w:qFormat/>
    <w:rPr>
      <w:sz w:val="18"/>
      <w:szCs w:val="18"/>
    </w:rPr>
  </w:style>
  <w:style w:type="character" w:styleId="1413" w:customStyle="1">
    <w:name w:val="Comment"/>
    <w:uiPriority w:val="0"/>
    <w:qFormat/>
    <w:rPr>
      <w:vanish/>
    </w:rPr>
  </w:style>
  <w:style w:type="character" w:styleId="1414" w:customStyle="1">
    <w:name w:val="font81"/>
    <w:uiPriority w:val="0"/>
    <w:qFormat/>
    <w:rPr>
      <w:rFonts w:hint="eastAsia" w:ascii="宋体" w:hAnsi="宋体" w:eastAsia="宋体" w:cs="宋体"/>
      <w:color w:val="000000"/>
      <w:sz w:val="22"/>
      <w:szCs w:val="22"/>
      <w:u w:val="single"/>
    </w:rPr>
  </w:style>
  <w:style w:type="character" w:styleId="1415" w:customStyle="1">
    <w:name w:val="明显引用 字符"/>
    <w:link w:val="1416"/>
    <w:uiPriority w:val="0"/>
    <w:qFormat/>
    <w:rPr>
      <w:b/>
      <w:bCs/>
      <w:i/>
      <w:iCs/>
      <w:color w:val="4f81bd"/>
    </w:rPr>
  </w:style>
  <w:style w:type="paragraph" w:styleId="1416" w:customStyle="1">
    <w:name w:val="明显引用1"/>
    <w:basedOn w:val="1020"/>
    <w:next w:val="1020"/>
    <w:link w:val="1415"/>
    <w:uiPriority w:val="0"/>
    <w:qFormat/>
    <w:pPr>
      <w:ind w:left="936" w:right="936"/>
      <w:spacing w:before="200" w:after="280"/>
      <w:pBdr>
        <w:bottom w:val="single" w:color="4F81BD" w:sz="4" w:space="4"/>
      </w:pBdr>
    </w:pPr>
    <w:rPr>
      <w:b/>
      <w:bCs/>
      <w:i/>
      <w:iCs/>
      <w:color w:val="4f81bd"/>
    </w:rPr>
  </w:style>
  <w:style w:type="character" w:styleId="1417" w:customStyle="1">
    <w:name w:val="明显引用 字符1"/>
    <w:uiPriority w:val="30"/>
    <w:qFormat/>
    <w:rPr>
      <w:i/>
      <w:iCs/>
      <w:color w:val="4472c4"/>
    </w:rPr>
  </w:style>
  <w:style w:type="character" w:styleId="1418" w:customStyle="1">
    <w:name w:val="Char Char181"/>
    <w:uiPriority w:val="0"/>
    <w:qFormat/>
    <w:rPr>
      <w:b/>
      <w:bCs/>
      <w:sz w:val="44"/>
      <w:szCs w:val="44"/>
    </w:rPr>
  </w:style>
  <w:style w:type="character" w:styleId="1419" w:customStyle="1">
    <w:name w:val="Definition"/>
    <w:uiPriority w:val="0"/>
    <w:qFormat/>
    <w:rPr>
      <w:i/>
    </w:rPr>
  </w:style>
  <w:style w:type="character" w:styleId="1420" w:customStyle="1">
    <w:name w:val="Char Char23"/>
    <w:uiPriority w:val="0"/>
    <w:qFormat/>
    <w:rPr>
      <w:rFonts w:eastAsia="宋体"/>
      <w:b/>
      <w:bCs/>
      <w:sz w:val="32"/>
      <w:szCs w:val="44"/>
      <w:lang w:val="en-US" w:eastAsia="zh-CN" w:bidi="ar-SA"/>
    </w:rPr>
  </w:style>
  <w:style w:type="character" w:styleId="1421" w:customStyle="1">
    <w:name w:val="Para head"/>
    <w:uiPriority w:val="0"/>
    <w:qFormat/>
    <w:rPr>
      <w:rFonts w:ascii="Arial" w:hAnsi="Arial" w:eastAsia="Times New Roman"/>
      <w:sz w:val="20"/>
    </w:rPr>
  </w:style>
  <w:style w:type="character" w:styleId="1422" w:customStyle="1">
    <w:name w:val="【正文】 Char"/>
    <w:link w:val="1423"/>
    <w:uiPriority w:val="0"/>
    <w:qFormat/>
    <w:rPr>
      <w:rFonts w:ascii="宋体" w:hAnsi="宋体" w:cs="宋体"/>
      <w:sz w:val="24"/>
      <w:szCs w:val="24"/>
      <w:lang w:val="zh-CN"/>
    </w:rPr>
  </w:style>
  <w:style w:type="paragraph" w:styleId="1423" w:customStyle="1">
    <w:name w:val="【正文】"/>
    <w:basedOn w:val="1298"/>
    <w:link w:val="1422"/>
    <w:uiPriority w:val="0"/>
    <w:qFormat/>
    <w:pPr>
      <w:ind w:firstLine="480"/>
      <w:tabs>
        <w:tab w:val="clear" w:pos="540" w:leader="none"/>
      </w:tabs>
    </w:pPr>
    <w:rPr>
      <w:rFonts w:hAnsi="宋体" w:eastAsia="等线" w:cs="宋体"/>
      <w:sz w:val="24"/>
      <w:szCs w:val="24"/>
      <w:lang w:val="zh-CN"/>
    </w:rPr>
  </w:style>
  <w:style w:type="character" w:styleId="1424" w:customStyle="1">
    <w:name w:val="Char Char6"/>
    <w:uiPriority w:val="0"/>
    <w:qFormat/>
    <w:rPr>
      <w:rFonts w:eastAsia="宋体"/>
      <w:b/>
      <w:bCs/>
      <w:sz w:val="32"/>
      <w:szCs w:val="44"/>
      <w:lang w:val="en-US" w:eastAsia="zh-CN" w:bidi="ar-SA"/>
    </w:rPr>
  </w:style>
  <w:style w:type="character" w:styleId="1425" w:customStyle="1">
    <w:name w:val="标题 Char2"/>
    <w:uiPriority w:val="0"/>
    <w:qFormat/>
    <w:rPr>
      <w:rFonts w:ascii="Cambria" w:hAnsi="Cambria" w:eastAsia="宋体" w:cs="Times New Roman"/>
      <w:b/>
      <w:bCs/>
      <w:sz w:val="32"/>
      <w:szCs w:val="32"/>
    </w:rPr>
  </w:style>
  <w:style w:type="character" w:styleId="1426" w:customStyle="1">
    <w:name w:val="Char Char22"/>
    <w:uiPriority w:val="0"/>
    <w:qFormat/>
    <w:rPr>
      <w:rFonts w:ascii="Times New Roman" w:hAnsi="Times New Roman" w:eastAsia="宋体" w:cs="Times New Roman"/>
      <w:b/>
      <w:bCs/>
      <w:sz w:val="32"/>
      <w:szCs w:val="44"/>
    </w:rPr>
  </w:style>
  <w:style w:type="character" w:styleId="1427" w:customStyle="1">
    <w:name w:val="样式3 字符"/>
    <w:link w:val="1428"/>
    <w:uiPriority w:val="0"/>
    <w:qFormat/>
    <w:rPr>
      <w:rFonts w:eastAsia="黑体"/>
      <w:b/>
      <w:bCs/>
      <w:sz w:val="32"/>
      <w:szCs w:val="44"/>
    </w:rPr>
  </w:style>
  <w:style w:type="paragraph" w:styleId="1428" w:customStyle="1">
    <w:name w:val="样式3"/>
    <w:basedOn w:val="1240"/>
    <w:link w:val="1427"/>
    <w:uiPriority w:val="0"/>
    <w:qFormat/>
    <w:pPr>
      <w:ind w:left="0" w:firstLine="0"/>
      <w:jc w:val="both"/>
      <w:keepLines/>
      <w:spacing w:before="340" w:after="330" w:line="578" w:lineRule="auto"/>
      <w:widowControl w:val="off"/>
      <w:tabs>
        <w:tab w:val="clear" w:pos="432" w:leader="none"/>
      </w:tabs>
    </w:pPr>
    <w:rPr>
      <w:rFonts w:ascii="等线" w:hAnsi="等线"/>
      <w:b/>
      <w:bCs/>
      <w:sz w:val="32"/>
      <w:szCs w:val="44"/>
    </w:rPr>
  </w:style>
  <w:style w:type="character" w:styleId="1429" w:customStyle="1">
    <w:name w:val="font71"/>
    <w:uiPriority w:val="0"/>
    <w:qFormat/>
    <w:rPr>
      <w:rFonts w:hint="eastAsia" w:ascii="宋体" w:hAnsi="宋体" w:eastAsia="宋体" w:cs="宋体"/>
      <w:color w:val="000000"/>
      <w:sz w:val="18"/>
      <w:szCs w:val="18"/>
      <w:u w:val="none"/>
    </w:rPr>
  </w:style>
  <w:style w:type="character" w:styleId="1430" w:customStyle="1">
    <w:name w:val="批注框文本 Char1"/>
    <w:uiPriority w:val="0"/>
    <w:qFormat/>
    <w:rPr>
      <w:rFonts w:ascii="Times New Roman" w:hAnsi="Times New Roman" w:eastAsia="宋体" w:cs="Times New Roman"/>
      <w:sz w:val="18"/>
      <w:szCs w:val="18"/>
    </w:rPr>
  </w:style>
  <w:style w:type="character" w:styleId="1431" w:customStyle="1">
    <w:name w:val="font291"/>
    <w:uiPriority w:val="0"/>
    <w:qFormat/>
    <w:rPr>
      <w:rFonts w:hint="eastAsia" w:ascii="宋体" w:hAnsi="宋体" w:eastAsia="宋体" w:cs="宋体"/>
      <w:color w:val="000000"/>
      <w:sz w:val="20"/>
      <w:szCs w:val="20"/>
      <w:u w:val="none"/>
    </w:rPr>
  </w:style>
  <w:style w:type="character" w:styleId="1432" w:customStyle="1">
    <w:name w:val="Char Char18"/>
    <w:uiPriority w:val="0"/>
    <w:qFormat/>
    <w:rPr>
      <w:rFonts w:ascii="Times New Roman" w:hAnsi="Times New Roman" w:eastAsia="宋体" w:cs="Times New Roman"/>
      <w:b/>
      <w:bCs/>
      <w:sz w:val="28"/>
      <w:szCs w:val="28"/>
    </w:rPr>
  </w:style>
  <w:style w:type="character" w:styleId="1433" w:customStyle="1">
    <w:name w:val="表格正文样式 字符"/>
    <w:link w:val="1434"/>
    <w:uiPriority w:val="0"/>
    <w:qFormat/>
    <w:rPr>
      <w:rFonts w:ascii="宋体" w:hAnsi="宋体" w:cs="宋体"/>
      <w:color w:val="000000"/>
      <w:sz w:val="24"/>
      <w:szCs w:val="24"/>
    </w:rPr>
  </w:style>
  <w:style w:type="paragraph" w:styleId="1434" w:customStyle="1">
    <w:name w:val="表格正文样式"/>
    <w:basedOn w:val="1020"/>
    <w:link w:val="1433"/>
    <w:uiPriority w:val="0"/>
    <w:qFormat/>
    <w:pPr>
      <w:widowControl/>
    </w:pPr>
    <w:rPr>
      <w:rFonts w:ascii="宋体" w:hAnsi="宋体" w:cs="宋体"/>
      <w:color w:val="000000"/>
      <w:sz w:val="24"/>
      <w:szCs w:val="24"/>
    </w:rPr>
  </w:style>
  <w:style w:type="character" w:styleId="1435" w:customStyle="1">
    <w:name w:val="font31"/>
    <w:uiPriority w:val="0"/>
    <w:qFormat/>
    <w:rPr>
      <w:rFonts w:hint="eastAsia" w:ascii="宋体" w:hAnsi="宋体" w:eastAsia="宋体" w:cs="宋体"/>
      <w:color w:val="000000"/>
      <w:sz w:val="22"/>
      <w:szCs w:val="22"/>
      <w:u w:val="none"/>
    </w:rPr>
  </w:style>
  <w:style w:type="character" w:styleId="1436" w:customStyle="1">
    <w:name w:val="标题 字符1"/>
    <w:uiPriority w:val="10"/>
    <w:qFormat/>
    <w:rPr>
      <w:rFonts w:ascii="等线 Light" w:hAnsi="等线 Light" w:cs="Times New Roman"/>
      <w:b/>
      <w:bCs/>
      <w:sz w:val="32"/>
      <w:szCs w:val="32"/>
    </w:rPr>
  </w:style>
  <w:style w:type="character" w:styleId="1437" w:customStyle="1">
    <w:name w:val="正文文本 字符1"/>
    <w:uiPriority w:val="99"/>
    <w:semiHidden/>
    <w:qFormat/>
    <w:rPr>
      <w:sz w:val="21"/>
      <w:szCs w:val="24"/>
    </w:rPr>
  </w:style>
  <w:style w:type="character" w:styleId="1438" w:customStyle="1">
    <w:name w:val="标题 3 Char"/>
    <w:uiPriority w:val="9"/>
    <w:qFormat/>
    <w:rPr>
      <w:rFonts w:eastAsia="宋体"/>
      <w:b/>
      <w:sz w:val="32"/>
      <w:lang w:val="en-US" w:eastAsia="zh-CN" w:bidi="ar-SA"/>
    </w:rPr>
  </w:style>
  <w:style w:type="character" w:styleId="1439" w:customStyle="1">
    <w:name w:val="Heading 4 Char"/>
    <w:uiPriority w:val="0"/>
    <w:qFormat/>
    <w:rPr>
      <w:rFonts w:ascii="Arial" w:hAnsi="Arial" w:eastAsia="宋体"/>
      <w:b/>
      <w:bCs/>
      <w:sz w:val="21"/>
      <w:szCs w:val="28"/>
      <w:lang w:val="en-US" w:eastAsia="zh-CN" w:bidi="ar-SA"/>
    </w:rPr>
  </w:style>
  <w:style w:type="character" w:styleId="1440" w:customStyle="1">
    <w:name w:val="副标题 字符1"/>
    <w:uiPriority w:val="11"/>
    <w:qFormat/>
    <w:rPr>
      <w:rFonts w:ascii="等线 Light" w:hAnsi="等线 Light" w:cs="Times New Roman"/>
      <w:b/>
      <w:bCs/>
      <w:sz w:val="32"/>
      <w:szCs w:val="32"/>
    </w:rPr>
  </w:style>
  <w:style w:type="character" w:styleId="1441" w:customStyle="1">
    <w:name w:val="2 级标题 Char"/>
    <w:link w:val="1442"/>
    <w:uiPriority w:val="0"/>
    <w:qFormat/>
    <w:rPr>
      <w:bCs/>
      <w:sz w:val="24"/>
      <w:szCs w:val="32"/>
    </w:rPr>
  </w:style>
  <w:style w:type="paragraph" w:styleId="1442" w:customStyle="1">
    <w:name w:val="2 级标题"/>
    <w:basedOn w:val="1241"/>
    <w:link w:val="1441"/>
    <w:uiPriority w:val="0"/>
    <w:qFormat/>
    <w:pPr>
      <w:ind w:left="567"/>
      <w:jc w:val="left"/>
      <w:keepLines w:val="0"/>
      <w:keepNext w:val="0"/>
      <w:spacing w:before="120" w:after="120" w:line="360" w:lineRule="auto"/>
      <w:widowControl/>
      <w:tabs>
        <w:tab w:val="left" w:pos="851" w:leader="none"/>
      </w:tabs>
    </w:pPr>
    <w:rPr>
      <w:rFonts w:ascii="等线" w:hAnsi="等线" w:eastAsia="等线"/>
      <w:b w:val="0"/>
      <w:sz w:val="24"/>
    </w:rPr>
  </w:style>
  <w:style w:type="character" w:styleId="1443" w:customStyle="1">
    <w:name w:val="font322"/>
    <w:uiPriority w:val="0"/>
    <w:qFormat/>
    <w:rPr>
      <w:rFonts w:hint="eastAsia" w:ascii="宋体" w:hAnsi="宋体" w:eastAsia="宋体" w:cs="宋体"/>
      <w:color w:val="000000"/>
      <w:sz w:val="20"/>
      <w:szCs w:val="20"/>
      <w:u w:val="none"/>
    </w:rPr>
  </w:style>
  <w:style w:type="character" w:styleId="1444" w:customStyle="1">
    <w:name w:val="Heading 1 Char"/>
    <w:uiPriority w:val="0"/>
    <w:qFormat/>
    <w:rPr>
      <w:rFonts w:eastAsia="宋体"/>
      <w:b/>
      <w:bCs/>
      <w:sz w:val="32"/>
      <w:szCs w:val="44"/>
      <w:lang w:val="en-US" w:eastAsia="zh-CN" w:bidi="ar-SA"/>
    </w:rPr>
  </w:style>
  <w:style w:type="character" w:styleId="1445" w:customStyle="1">
    <w:name w:val="Char Char4"/>
    <w:uiPriority w:val="0"/>
    <w:qFormat/>
    <w:rPr>
      <w:rFonts w:ascii="宋体" w:hAnsi="宋体" w:eastAsia="黑体" w:cs="Arial"/>
      <w:b/>
      <w:sz w:val="28"/>
      <w:szCs w:val="32"/>
      <w:lang w:val="en-US" w:eastAsia="zh-CN" w:bidi="ar-SA"/>
    </w:rPr>
  </w:style>
  <w:style w:type="character" w:styleId="1446" w:customStyle="1">
    <w:name w:val="Body Text Indent Char"/>
    <w:uiPriority w:val="0"/>
    <w:qFormat/>
    <w:rPr>
      <w:rFonts w:ascii="宋体" w:hAnsi="宋体" w:eastAsia="宋体"/>
      <w:sz w:val="21"/>
      <w:lang w:val="en-US" w:eastAsia="zh-CN" w:bidi="ar-SA"/>
    </w:rPr>
  </w:style>
  <w:style w:type="character" w:styleId="1447" w:customStyle="1">
    <w:name w:val="日期 字符1"/>
    <w:uiPriority w:val="99"/>
    <w:semiHidden/>
    <w:qFormat/>
    <w:rPr>
      <w:sz w:val="21"/>
      <w:szCs w:val="24"/>
    </w:rPr>
  </w:style>
  <w:style w:type="character" w:styleId="1448" w:customStyle="1">
    <w:name w:val="font361"/>
    <w:uiPriority w:val="0"/>
    <w:qFormat/>
    <w:rPr>
      <w:rFonts w:hint="eastAsia" w:ascii="宋体" w:hAnsi="宋体" w:eastAsia="宋体" w:cs="宋体"/>
      <w:b/>
      <w:color w:val="000000"/>
      <w:sz w:val="20"/>
      <w:szCs w:val="20"/>
      <w:u w:val="none"/>
    </w:rPr>
  </w:style>
  <w:style w:type="character" w:styleId="1449" w:customStyle="1">
    <w:name w:val="脚注文本 字符1"/>
    <w:uiPriority w:val="99"/>
    <w:qFormat/>
    <w:rPr>
      <w:sz w:val="18"/>
      <w:szCs w:val="18"/>
    </w:rPr>
  </w:style>
  <w:style w:type="character" w:styleId="1450" w:customStyle="1">
    <w:name w:val="textcontents"/>
    <w:uiPriority w:val="0"/>
    <w:qFormat/>
    <w:rPr>
      <w:rFonts w:cs="Times New Roman"/>
    </w:rPr>
  </w:style>
  <w:style w:type="character" w:styleId="1451" w:customStyle="1">
    <w:name w:val="纯文本 Char"/>
    <w:uiPriority w:val="99"/>
    <w:qFormat/>
    <w:rPr>
      <w:rFonts w:ascii="宋体" w:hAnsi="Courier New" w:eastAsia="宋体"/>
      <w:sz w:val="21"/>
      <w:lang w:val="en-US" w:eastAsia="zh-CN" w:bidi="ar-SA"/>
    </w:rPr>
  </w:style>
  <w:style w:type="character" w:styleId="1452" w:customStyle="1">
    <w:name w:val="引用 Char1"/>
    <w:uiPriority w:val="29"/>
    <w:qFormat/>
    <w:rPr>
      <w:rFonts w:ascii="Times New Roman" w:hAnsi="Times New Roman" w:eastAsia="宋体" w:cs="Times New Roman"/>
      <w:i/>
      <w:iCs/>
      <w:color w:val="000000"/>
      <w:szCs w:val="24"/>
    </w:rPr>
  </w:style>
  <w:style w:type="character" w:styleId="1453" w:customStyle="1">
    <w:name w:val="正文文本 3 字符1"/>
    <w:uiPriority w:val="99"/>
    <w:qFormat/>
    <w:rPr>
      <w:sz w:val="16"/>
      <w:szCs w:val="16"/>
    </w:rPr>
  </w:style>
  <w:style w:type="character" w:styleId="1454" w:customStyle="1">
    <w:name w:val="Char Char1"/>
    <w:uiPriority w:val="0"/>
    <w:qFormat/>
    <w:rPr>
      <w:rFonts w:ascii="黑体" w:hAnsi="Arial" w:eastAsia="黑体" w:cs="Arial"/>
      <w:b/>
      <w:bCs/>
      <w:sz w:val="32"/>
      <w:szCs w:val="32"/>
      <w:lang w:val="en-US" w:eastAsia="zh-CN" w:bidi="ar-SA"/>
    </w:rPr>
  </w:style>
  <w:style w:type="character" w:styleId="1455" w:customStyle="1">
    <w:name w:val="font381"/>
    <w:uiPriority w:val="0"/>
    <w:qFormat/>
    <w:rPr>
      <w:rFonts w:hint="eastAsia" w:ascii="宋体" w:hAnsi="宋体" w:eastAsia="宋体" w:cs="宋体"/>
      <w:color w:val="000000"/>
      <w:sz w:val="20"/>
      <w:szCs w:val="20"/>
      <w:u w:val="none"/>
    </w:rPr>
  </w:style>
  <w:style w:type="character" w:styleId="1456" w:customStyle="1">
    <w:name w:val="font61"/>
    <w:uiPriority w:val="0"/>
    <w:qFormat/>
    <w:rPr>
      <w:rFonts w:ascii="Times New Roman" w:hAnsi="Times New Roman" w:cs="Times New Roman"/>
      <w:color w:val="000000"/>
      <w:sz w:val="24"/>
      <w:szCs w:val="24"/>
      <w:u w:val="none"/>
    </w:rPr>
  </w:style>
  <w:style w:type="character" w:styleId="1457" w:customStyle="1">
    <w:name w:val="font01"/>
    <w:uiPriority w:val="0"/>
    <w:qFormat/>
    <w:rPr>
      <w:rFonts w:ascii="Times New Roman" w:hAnsi="Times New Roman" w:cs="Times New Roman"/>
      <w:color w:val="000000"/>
      <w:sz w:val="24"/>
      <w:szCs w:val="24"/>
      <w:u w:val="none"/>
    </w:rPr>
  </w:style>
  <w:style w:type="character" w:styleId="1458" w:customStyle="1">
    <w:name w:val="正文文本 2 字符1"/>
    <w:uiPriority w:val="99"/>
    <w:qFormat/>
    <w:rPr>
      <w:sz w:val="21"/>
    </w:rPr>
  </w:style>
  <w:style w:type="character" w:styleId="1459" w:customStyle="1">
    <w:name w:val="批注文字 字符1"/>
    <w:uiPriority w:val="99"/>
    <w:semiHidden/>
    <w:qFormat/>
    <w:rPr>
      <w:sz w:val="21"/>
      <w:szCs w:val="24"/>
    </w:rPr>
  </w:style>
  <w:style w:type="character" w:styleId="1460" w:customStyle="1">
    <w:name w:val="文档结构图 字符1"/>
    <w:uiPriority w:val="99"/>
    <w:semiHidden/>
    <w:qFormat/>
    <w:rPr>
      <w:rFonts w:ascii="Microsoft YaHei UI" w:eastAsia="Microsoft YaHei UI"/>
      <w:sz w:val="18"/>
      <w:szCs w:val="18"/>
    </w:rPr>
  </w:style>
  <w:style w:type="character" w:styleId="1461" w:customStyle="1">
    <w:name w:val="Heading 3 Char"/>
    <w:uiPriority w:val="0"/>
    <w:qFormat/>
    <w:rPr>
      <w:rFonts w:cs="Times New Roman"/>
      <w:b/>
      <w:bCs/>
      <w:sz w:val="32"/>
      <w:szCs w:val="32"/>
    </w:rPr>
  </w:style>
  <w:style w:type="character" w:styleId="1462" w:customStyle="1">
    <w:name w:val="Sample"/>
    <w:uiPriority w:val="0"/>
    <w:qFormat/>
    <w:rPr>
      <w:rFonts w:ascii="Courier New" w:hAnsi="Courier New"/>
    </w:rPr>
  </w:style>
  <w:style w:type="character" w:styleId="1463" w:customStyle="1">
    <w:name w:val="Char Char"/>
    <w:uiPriority w:val="0"/>
    <w:qFormat/>
    <w:rPr>
      <w:rFonts w:eastAsia="宋体"/>
      <w:b/>
      <w:sz w:val="21"/>
      <w:szCs w:val="24"/>
      <w:lang w:val="en-US" w:eastAsia="zh-CN" w:bidi="ar-SA"/>
    </w:rPr>
  </w:style>
  <w:style w:type="character" w:styleId="1464" w:customStyle="1">
    <w:name w:val="Heading 5 Char"/>
    <w:uiPriority w:val="0"/>
    <w:qFormat/>
    <w:rPr>
      <w:rFonts w:eastAsia="宋体"/>
      <w:b/>
      <w:bCs/>
      <w:sz w:val="28"/>
      <w:szCs w:val="28"/>
      <w:lang w:val="en-US" w:eastAsia="zh-CN" w:bidi="ar-SA"/>
    </w:rPr>
  </w:style>
  <w:style w:type="character" w:styleId="1465" w:customStyle="1">
    <w:name w:val="font21"/>
    <w:uiPriority w:val="0"/>
    <w:qFormat/>
    <w:rPr>
      <w:rFonts w:hint="eastAsia" w:ascii="宋体" w:hAnsi="宋体" w:eastAsia="宋体" w:cs="宋体"/>
      <w:b/>
      <w:color w:val="000000"/>
      <w:sz w:val="24"/>
      <w:szCs w:val="24"/>
      <w:u w:val="none"/>
    </w:rPr>
  </w:style>
  <w:style w:type="character" w:styleId="1466" w:customStyle="1">
    <w:name w:val="Char Char19"/>
    <w:uiPriority w:val="0"/>
    <w:qFormat/>
    <w:rPr>
      <w:rFonts w:ascii="Arial" w:hAnsi="Arial" w:eastAsia="宋体" w:cs="Times New Roman"/>
      <w:b/>
      <w:bCs/>
      <w:szCs w:val="28"/>
    </w:rPr>
  </w:style>
  <w:style w:type="character" w:styleId="1467" w:customStyle="1">
    <w:name w:val="font41"/>
    <w:uiPriority w:val="0"/>
    <w:qFormat/>
    <w:rPr>
      <w:rFonts w:hint="eastAsia" w:ascii="宋体" w:hAnsi="宋体" w:eastAsia="宋体" w:cs="宋体"/>
      <w:color w:val="000000"/>
      <w:sz w:val="24"/>
      <w:szCs w:val="24"/>
      <w:u w:val="none"/>
    </w:rPr>
  </w:style>
  <w:style w:type="character" w:styleId="1468" w:customStyle="1">
    <w:name w:val="Typewriter"/>
    <w:uiPriority w:val="0"/>
    <w:qFormat/>
    <w:rPr>
      <w:rFonts w:ascii="Courier New" w:hAnsi="Courier New"/>
      <w:sz w:val="20"/>
    </w:rPr>
  </w:style>
  <w:style w:type="character" w:styleId="1469" w:customStyle="1">
    <w:name w:val="Comment Subject Char"/>
    <w:uiPriority w:val="0"/>
    <w:qFormat/>
    <w:rPr>
      <w:b/>
      <w:sz w:val="24"/>
      <w:lang w:bidi="ar-SA"/>
    </w:rPr>
  </w:style>
  <w:style w:type="character" w:styleId="1470" w:customStyle="1">
    <w:name w:val="纯文本 字符1"/>
    <w:uiPriority w:val="99"/>
    <w:semiHidden/>
    <w:qFormat/>
    <w:rPr>
      <w:rFonts w:ascii="等线" w:hAnsi="Courier New" w:eastAsia="等线" w:cs="Courier New"/>
      <w:sz w:val="21"/>
      <w:szCs w:val="24"/>
    </w:rPr>
  </w:style>
  <w:style w:type="character" w:styleId="1471" w:customStyle="1">
    <w:name w:val="标题4 Char Char"/>
    <w:link w:val="1472"/>
    <w:uiPriority w:val="0"/>
    <w:qFormat/>
    <w:rPr>
      <w:rFonts w:ascii="Arial" w:hAnsi="Arial"/>
      <w:b/>
      <w:bCs/>
      <w:sz w:val="24"/>
      <w:szCs w:val="32"/>
    </w:rPr>
  </w:style>
  <w:style w:type="paragraph" w:styleId="1472" w:customStyle="1">
    <w:name w:val="标题4"/>
    <w:basedOn w:val="1241"/>
    <w:next w:val="1276"/>
    <w:link w:val="1471"/>
    <w:uiPriority w:val="0"/>
    <w:qFormat/>
    <w:pPr>
      <w:jc w:val="center"/>
      <w:spacing w:before="60" w:after="60"/>
    </w:pPr>
    <w:rPr>
      <w:rFonts w:eastAsia="等线"/>
      <w:sz w:val="24"/>
    </w:rPr>
  </w:style>
  <w:style w:type="character" w:styleId="1473" w:customStyle="1">
    <w:name w:val="Heading 3 Char1"/>
    <w:uiPriority w:val="0"/>
    <w:qFormat/>
    <w:rPr>
      <w:rFonts w:eastAsia="宋体"/>
      <w:b/>
      <w:bCs/>
      <w:sz w:val="24"/>
      <w:szCs w:val="32"/>
      <w:lang w:val="en-US" w:eastAsia="zh-CN" w:bidi="ar-SA"/>
    </w:rPr>
  </w:style>
  <w:style w:type="character" w:styleId="1474"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475" w:customStyle="1">
    <w:name w:val="font51"/>
    <w:uiPriority w:val="0"/>
    <w:qFormat/>
    <w:rPr>
      <w:rFonts w:ascii="Calibri" w:hAnsi="Calibri" w:cs="Calibri"/>
      <w:color w:val="000000"/>
      <w:sz w:val="24"/>
      <w:szCs w:val="24"/>
      <w:u w:val="none"/>
    </w:rPr>
  </w:style>
  <w:style w:type="character" w:styleId="1476" w:customStyle="1">
    <w:name w:val="不明显强调1"/>
    <w:uiPriority w:val="0"/>
    <w:qFormat/>
    <w:rPr>
      <w:i/>
      <w:iCs/>
      <w:color w:val="808080"/>
    </w:rPr>
  </w:style>
  <w:style w:type="character" w:styleId="1477" w:customStyle="1">
    <w:name w:val="批注主题 Char1"/>
    <w:uiPriority w:val="0"/>
    <w:qFormat/>
    <w:rPr>
      <w:rFonts w:ascii="Times New Roman" w:hAnsi="Times New Roman" w:eastAsia="宋体" w:cs="Times New Roman"/>
      <w:b/>
      <w:bCs/>
      <w:sz w:val="20"/>
      <w:szCs w:val="20"/>
    </w:rPr>
  </w:style>
  <w:style w:type="character" w:styleId="1478" w:customStyle="1">
    <w:name w:val="Char Char24"/>
    <w:uiPriority w:val="0"/>
    <w:qFormat/>
    <w:rPr>
      <w:rFonts w:eastAsia="宋体"/>
      <w:b/>
      <w:bCs/>
      <w:sz w:val="32"/>
      <w:szCs w:val="44"/>
      <w:lang w:val="en-US" w:eastAsia="zh-CN" w:bidi="ar-SA"/>
    </w:rPr>
  </w:style>
  <w:style w:type="character" w:styleId="1479" w:customStyle="1">
    <w:name w:val="Char Char20"/>
    <w:uiPriority w:val="0"/>
    <w:qFormat/>
    <w:rPr>
      <w:rFonts w:ascii="Times New Roman" w:hAnsi="Times New Roman" w:eastAsia="宋体" w:cs="Times New Roman"/>
      <w:b/>
      <w:bCs/>
      <w:sz w:val="24"/>
      <w:szCs w:val="32"/>
    </w:rPr>
  </w:style>
  <w:style w:type="character" w:styleId="1480" w:customStyle="1">
    <w:name w:val="书籍标题1"/>
    <w:uiPriority w:val="0"/>
    <w:qFormat/>
    <w:rPr>
      <w:b/>
      <w:bCs/>
      <w:smallCaps/>
      <w:spacing w:val="5"/>
    </w:rPr>
  </w:style>
  <w:style w:type="character" w:styleId="1481" w:customStyle="1">
    <w:name w:val="Keyboard"/>
    <w:uiPriority w:val="0"/>
    <w:qFormat/>
    <w:rPr>
      <w:rFonts w:ascii="Courier New" w:hAnsi="Courier New"/>
      <w:b/>
      <w:sz w:val="20"/>
    </w:rPr>
  </w:style>
  <w:style w:type="character" w:styleId="1482" w:customStyle="1">
    <w:name w:val="批注主题 字符1"/>
    <w:uiPriority w:val="99"/>
    <w:semiHidden/>
    <w:qFormat/>
    <w:rPr>
      <w:b/>
      <w:bCs/>
      <w:sz w:val="21"/>
      <w:szCs w:val="24"/>
    </w:rPr>
  </w:style>
  <w:style w:type="character" w:styleId="1483" w:customStyle="1">
    <w:name w:val="页脚 Char"/>
    <w:uiPriority w:val="99"/>
    <w:qFormat/>
    <w:rPr>
      <w:sz w:val="18"/>
      <w:szCs w:val="18"/>
    </w:rPr>
  </w:style>
  <w:style w:type="character" w:styleId="1484" w:customStyle="1">
    <w:name w:val="Title Char"/>
    <w:uiPriority w:val="0"/>
    <w:qFormat/>
    <w:rPr>
      <w:rFonts w:ascii="Cambria" w:hAnsi="Cambria"/>
      <w:b/>
      <w:sz w:val="32"/>
      <w:lang w:bidi="ar-SA"/>
    </w:rPr>
  </w:style>
  <w:style w:type="paragraph" w:styleId="1485" w:customStyle="1">
    <w:name w:val="三级标题"/>
    <w:basedOn w:val="1120"/>
    <w:uiPriority w:val="0"/>
    <w:qFormat/>
    <w:pPr>
      <w:jc w:val="both"/>
      <w:spacing w:before="260" w:after="260" w:line="415" w:lineRule="auto"/>
      <w:widowControl w:val="off"/>
      <w:tabs>
        <w:tab w:val="clear" w:pos="720" w:leader="none"/>
      </w:tabs>
    </w:pPr>
    <w:rPr>
      <w:rFonts w:ascii="等线" w:hAnsi="等线" w:eastAsia="黑体"/>
      <w:bCs/>
      <w:sz w:val="24"/>
      <w:szCs w:val="32"/>
    </w:rPr>
  </w:style>
  <w:style w:type="paragraph" w:styleId="1486" w:customStyle="1">
    <w:name w:val="表格正文"/>
    <w:basedOn w:val="1020"/>
    <w:uiPriority w:val="0"/>
    <w:qFormat/>
    <w:pPr>
      <w:ind w:firstLine="200"/>
      <w:spacing w:line="360" w:lineRule="auto"/>
    </w:pPr>
    <w:rPr>
      <w:rFonts w:ascii="宋体" w:hAnsi="Times New Roman" w:eastAsia="宋体"/>
      <w:sz w:val="24"/>
      <w:szCs w:val="20"/>
    </w:rPr>
  </w:style>
  <w:style w:type="paragraph" w:styleId="1487" w:customStyle="1">
    <w:name w:val="标题 H5"/>
    <w:basedOn w:val="1020"/>
    <w:next w:val="1020"/>
    <w:uiPriority w:val="0"/>
    <w:qFormat/>
    <w:pPr>
      <w:numPr>
        <w:ilvl w:val="4"/>
        <w:numId w:val="1"/>
      </w:numPr>
      <w:ind w:firstLine="0"/>
      <w:jc w:val="left"/>
      <w:spacing w:before="120" w:after="120" w:line="360" w:lineRule="auto"/>
      <w:outlineLvl w:val="4"/>
    </w:pPr>
    <w:rPr>
      <w:rFonts w:ascii="Times New Roman" w:hAnsi="Times New Roman" w:eastAsia="宋体"/>
      <w:b/>
      <w:szCs w:val="24"/>
    </w:rPr>
  </w:style>
  <w:style w:type="paragraph" w:styleId="1488" w:customStyle="1">
    <w:name w:val="段"/>
    <w:basedOn w:val="1020"/>
    <w:uiPriority w:val="0"/>
    <w:qFormat/>
    <w:pPr>
      <w:ind w:firstLine="200"/>
      <w:spacing w:line="360" w:lineRule="auto"/>
      <w:widowControl/>
    </w:pPr>
    <w:rPr>
      <w:rFonts w:ascii="宋体" w:hAnsi="宋体" w:eastAsia="宋体" w:cs="宋体"/>
      <w:szCs w:val="21"/>
    </w:rPr>
  </w:style>
  <w:style w:type="paragraph" w:styleId="1489" w:customStyle="1">
    <w:name w:val="正文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490" w:customStyle="1">
    <w:name w:val="标题 H4"/>
    <w:basedOn w:val="1020"/>
    <w:next w:val="1020"/>
    <w:uiPriority w:val="0"/>
    <w:qFormat/>
    <w:pPr>
      <w:numPr>
        <w:ilvl w:val="3"/>
        <w:numId w:val="1"/>
      </w:numPr>
      <w:ind w:left="0" w:firstLine="0"/>
      <w:jc w:val="left"/>
      <w:spacing w:before="120" w:after="120" w:line="360" w:lineRule="auto"/>
      <w:outlineLvl w:val="3"/>
    </w:pPr>
    <w:rPr>
      <w:rFonts w:ascii="Times New Roman" w:hAnsi="Times New Roman" w:eastAsia="宋体"/>
      <w:b/>
      <w:sz w:val="24"/>
      <w:szCs w:val="24"/>
    </w:rPr>
  </w:style>
  <w:style w:type="paragraph" w:styleId="1491" w:customStyle="1">
    <w:name w:val="表格标题"/>
    <w:basedOn w:val="1020"/>
    <w:next w:val="1020"/>
    <w:uiPriority w:val="0"/>
    <w:qFormat/>
    <w:pPr>
      <w:jc w:val="left"/>
      <w:spacing w:after="160"/>
    </w:pPr>
    <w:rPr>
      <w:rFonts w:ascii="仿宋" w:hAnsi="仿宋" w:eastAsia="仿宋"/>
      <w:b/>
      <w:bCs/>
      <w:sz w:val="22"/>
      <w:szCs w:val="21"/>
    </w:rPr>
  </w:style>
  <w:style w:type="paragraph" w:styleId="1492" w:customStyle="1">
    <w:name w:val="xl46"/>
    <w:basedOn w:val="102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493"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494" w:customStyle="1">
    <w:name w:val="xl370"/>
    <w:basedOn w:val="10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95" w:customStyle="1">
    <w:name w:val="k 正文"/>
    <w:basedOn w:val="1020"/>
    <w:uiPriority w:val="0"/>
    <w:qFormat/>
    <w:pPr>
      <w:ind w:firstLine="200"/>
      <w:spacing w:line="360" w:lineRule="auto"/>
    </w:pPr>
    <w:rPr>
      <w:rFonts w:ascii="Times New Roman" w:hAnsi="Times New Roman" w:eastAsia="宋体"/>
    </w:rPr>
  </w:style>
  <w:style w:type="paragraph" w:styleId="1496" w:customStyle="1">
    <w:name w:val="font17"/>
    <w:basedOn w:val="1020"/>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497" w:customStyle="1">
    <w:name w:val="H1"/>
    <w:basedOn w:val="1020"/>
    <w:next w:val="1020"/>
    <w:uiPriority w:val="0"/>
    <w:qFormat/>
    <w:pPr>
      <w:jc w:val="left"/>
      <w:keepNext/>
      <w:spacing w:before="100" w:after="100"/>
      <w:outlineLvl w:val="1"/>
    </w:pPr>
    <w:rPr>
      <w:rFonts w:ascii="Times New Roman" w:hAnsi="Times New Roman" w:eastAsia="宋体"/>
      <w:b/>
      <w:sz w:val="48"/>
      <w:szCs w:val="20"/>
    </w:rPr>
  </w:style>
  <w:style w:type="paragraph" w:styleId="1498" w:customStyle="1">
    <w:name w:val="Char"/>
    <w:basedOn w:val="1020"/>
    <w:uiPriority w:val="0"/>
    <w:qFormat/>
    <w:pPr>
      <w:jc w:val="left"/>
      <w:spacing w:after="160" w:line="240" w:lineRule="exact"/>
      <w:widowControl/>
    </w:pPr>
    <w:rPr>
      <w:rFonts w:ascii="Times New Roman" w:hAnsi="Times New Roman" w:eastAsia="宋体"/>
      <w:szCs w:val="24"/>
    </w:rPr>
  </w:style>
  <w:style w:type="paragraph" w:styleId="1499" w:customStyle="1">
    <w:name w:val="reader-word-layer"/>
    <w:basedOn w:val="1020"/>
    <w:uiPriority w:val="0"/>
    <w:qFormat/>
    <w:pPr>
      <w:jc w:val="left"/>
      <w:spacing w:before="100" w:beforeAutospacing="1" w:after="100" w:afterAutospacing="1"/>
      <w:widowControl/>
    </w:pPr>
    <w:rPr>
      <w:rFonts w:ascii="宋体" w:hAnsi="宋体" w:eastAsia="宋体" w:cs="宋体"/>
      <w:sz w:val="24"/>
      <w:szCs w:val="24"/>
    </w:rPr>
  </w:style>
  <w:style w:type="paragraph" w:styleId="1500" w:customStyle="1">
    <w:name w:val="xl66"/>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01" w:customStyle="1">
    <w:name w:val="xl78"/>
    <w:basedOn w:val="102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502" w:customStyle="1">
    <w:name w:val="xl36"/>
    <w:basedOn w:val="10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503" w:customStyle="1">
    <w:name w:val="xl25"/>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504" w:customStyle="1">
    <w:name w:val="目录文字"/>
    <w:basedOn w:val="1020"/>
    <w:uiPriority w:val="0"/>
    <w:qFormat/>
    <w:pPr>
      <w:jc w:val="left"/>
      <w:spacing w:line="480" w:lineRule="auto"/>
      <w:widowControl/>
    </w:pPr>
    <w:rPr>
      <w:rFonts w:ascii="宋体" w:hAnsi="宋体" w:eastAsia="宋体"/>
      <w:sz w:val="24"/>
      <w:szCs w:val="20"/>
    </w:rPr>
  </w:style>
  <w:style w:type="paragraph" w:styleId="1505" w:customStyle="1">
    <w:name w:val="列表段落2"/>
    <w:basedOn w:val="1020"/>
    <w:uiPriority w:val="0"/>
    <w:qFormat/>
    <w:pPr>
      <w:ind w:firstLine="420"/>
    </w:pPr>
    <w:rPr>
      <w:rFonts w:ascii="Times New Roman" w:hAnsi="Times New Roman" w:eastAsia="宋体"/>
      <w:szCs w:val="21"/>
    </w:rPr>
  </w:style>
  <w:style w:type="paragraph" w:styleId="1506" w:customStyle="1">
    <w:name w:val="空半行"/>
    <w:basedOn w:val="1020"/>
    <w:uiPriority w:val="0"/>
    <w:qFormat/>
    <w:pPr>
      <w:spacing w:line="120" w:lineRule="exact"/>
    </w:pPr>
    <w:rPr>
      <w:rFonts w:ascii="Times New Roman" w:hAnsi="Times New Roman" w:eastAsia="仿宋_GB2312"/>
      <w:color w:val="ffffff"/>
      <w:sz w:val="30"/>
      <w:szCs w:val="20"/>
    </w:rPr>
  </w:style>
  <w:style w:type="paragraph" w:styleId="1507" w:customStyle="1">
    <w:name w:val="xl42"/>
    <w:basedOn w:val="10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508" w:customStyle="1">
    <w:name w:val="xl45"/>
    <w:basedOn w:val="10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2"/>
    </w:rPr>
  </w:style>
  <w:style w:type="paragraph" w:styleId="1509" w:customStyle="1">
    <w:name w:val="内容文本"/>
    <w:basedOn w:val="1327"/>
    <w:uiPriority w:val="0"/>
    <w:qFormat/>
    <w:pPr>
      <w:contextualSpacing/>
      <w:ind w:firstLine="200"/>
      <w:jc w:val="left"/>
      <w:spacing w:line="360" w:lineRule="auto"/>
    </w:pPr>
    <w:rPr>
      <w:rFonts w:ascii="宋体" w:hAnsi="宋体" w:eastAsia="宋体"/>
      <w:sz w:val="24"/>
      <w:lang w:eastAsia="en-US" w:bidi="en-US"/>
    </w:rPr>
  </w:style>
  <w:style w:type="paragraph" w:styleId="1510" w:customStyle="1">
    <w:name w:val="font12"/>
    <w:basedOn w:val="1020"/>
    <w:uiPriority w:val="0"/>
    <w:qFormat/>
    <w:pPr>
      <w:jc w:val="left"/>
      <w:spacing w:before="100" w:beforeAutospacing="1" w:after="100" w:afterAutospacing="1"/>
      <w:widowControl/>
    </w:pPr>
    <w:rPr>
      <w:rFonts w:ascii="宋体" w:hAnsi="宋体" w:eastAsia="宋体" w:cs="宋体"/>
      <w:b/>
      <w:bCs/>
      <w:sz w:val="22"/>
    </w:rPr>
  </w:style>
  <w:style w:type="paragraph" w:styleId="1511" w:customStyle="1">
    <w:name w:val="1"/>
    <w:basedOn w:val="1020"/>
    <w:next w:val="1020"/>
    <w:uiPriority w:val="0"/>
    <w:qFormat/>
    <w:rPr>
      <w:rFonts w:ascii="Times New Roman" w:hAnsi="Times New Roman" w:eastAsia="宋体"/>
      <w:szCs w:val="24"/>
    </w:rPr>
  </w:style>
  <w:style w:type="paragraph" w:styleId="1512" w:customStyle="1">
    <w:name w:val="_Style 1"/>
    <w:basedOn w:val="1020"/>
    <w:uiPriority w:val="0"/>
    <w:qFormat/>
    <w:pPr>
      <w:ind w:firstLine="420"/>
    </w:pPr>
    <w:rPr>
      <w:rFonts w:ascii="Times New Roman" w:hAnsi="Times New Roman" w:eastAsia="宋体"/>
      <w:sz w:val="20"/>
      <w:szCs w:val="20"/>
    </w:rPr>
  </w:style>
  <w:style w:type="paragraph" w:styleId="1513" w:customStyle="1">
    <w:name w:val="xl67"/>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14" w:customStyle="1">
    <w:name w:val="xl39"/>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2"/>
    </w:rPr>
  </w:style>
  <w:style w:type="paragraph" w:styleId="1515" w:customStyle="1">
    <w:name w:val="xl102"/>
    <w:basedOn w:val="10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16" w:customStyle="1">
    <w:name w:val="font7"/>
    <w:basedOn w:val="1020"/>
    <w:uiPriority w:val="0"/>
    <w:qFormat/>
    <w:pPr>
      <w:jc w:val="left"/>
      <w:spacing w:before="100" w:beforeAutospacing="1" w:after="100" w:afterAutospacing="1"/>
      <w:widowControl/>
    </w:pPr>
    <w:rPr>
      <w:rFonts w:ascii="宋体" w:hAnsi="宋体" w:eastAsia="宋体" w:cs="宋体"/>
      <w:sz w:val="16"/>
      <w:szCs w:val="16"/>
    </w:rPr>
  </w:style>
  <w:style w:type="paragraph" w:styleId="1517" w:customStyle="1">
    <w:name w:val="xl108"/>
    <w:basedOn w:val="1020"/>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18" w:customStyle="1">
    <w:name w:val="TOC 标题_0"/>
    <w:basedOn w:val="1519"/>
    <w:next w:val="1333"/>
    <w:uiPriority w:val="0"/>
    <w:qFormat/>
    <w:pPr>
      <w:outlineLvl w:val="9"/>
    </w:pPr>
    <w:rPr>
      <w:rFonts w:ascii="Calibri" w:hAnsi="Calibri"/>
    </w:rPr>
  </w:style>
  <w:style w:type="paragraph" w:styleId="1519" w:customStyle="1">
    <w:name w:val="标题 1_0"/>
    <w:basedOn w:val="1333"/>
    <w:next w:val="1333"/>
    <w:uiPriority w:val="0"/>
    <w:qFormat/>
    <w:pPr>
      <w:keepLines/>
      <w:keepNext/>
      <w:spacing w:before="340" w:after="330" w:line="576" w:lineRule="auto"/>
      <w:outlineLvl w:val="0"/>
    </w:pPr>
    <w:rPr>
      <w:b/>
      <w:bCs/>
      <w:sz w:val="44"/>
      <w:szCs w:val="44"/>
    </w:rPr>
  </w:style>
  <w:style w:type="paragraph" w:styleId="1520" w:customStyle="1">
    <w:name w:val="xl95"/>
    <w:basedOn w:val="102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521" w:customStyle="1">
    <w:name w:val="xl35"/>
    <w:basedOn w:val="102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olor w:val="000000"/>
      <w:sz w:val="20"/>
      <w:szCs w:val="20"/>
    </w:rPr>
  </w:style>
  <w:style w:type="paragraph" w:styleId="1522" w:customStyle="1">
    <w:name w:val="标题 3_0"/>
    <w:basedOn w:val="1333"/>
    <w:next w:val="1333"/>
    <w:uiPriority w:val="0"/>
    <w:qFormat/>
    <w:pPr>
      <w:keepLines/>
      <w:keepNext/>
      <w:spacing w:before="260" w:after="260" w:line="413" w:lineRule="auto"/>
      <w:outlineLvl w:val="2"/>
    </w:pPr>
    <w:rPr>
      <w:b/>
      <w:bCs/>
      <w:sz w:val="32"/>
      <w:szCs w:val="32"/>
    </w:rPr>
  </w:style>
  <w:style w:type="paragraph" w:styleId="1523" w:customStyle="1">
    <w:name w:val="xl37"/>
    <w:basedOn w:val="10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524" w:customStyle="1">
    <w:name w:val="xl23"/>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525" w:customStyle="1">
    <w:name w:val="Char Char6 Char Char Char Char"/>
    <w:basedOn w:val="1020"/>
    <w:uiPriority w:val="0"/>
    <w:qFormat/>
    <w:pPr>
      <w:jc w:val="left"/>
      <w:spacing w:after="160" w:line="240" w:lineRule="exact"/>
      <w:widowControl/>
    </w:pPr>
    <w:rPr>
      <w:rFonts w:ascii="仿宋_GB2312" w:hAnsi="Times New Roman" w:eastAsia="仿宋_GB2312"/>
      <w:sz w:val="32"/>
      <w:szCs w:val="32"/>
    </w:rPr>
  </w:style>
  <w:style w:type="paragraph" w:styleId="1526" w:customStyle="1">
    <w:name w:val="列出段落21"/>
    <w:basedOn w:val="1020"/>
    <w:uiPriority w:val="34"/>
    <w:qFormat/>
    <w:pPr>
      <w:ind w:firstLine="420"/>
    </w:pPr>
    <w:rPr>
      <w:rFonts w:ascii="Times New Roman" w:hAnsi="Times New Roman" w:eastAsia="宋体"/>
      <w:szCs w:val="20"/>
    </w:rPr>
  </w:style>
  <w:style w:type="paragraph" w:styleId="1527" w:customStyle="1">
    <w:name w:val="xl70"/>
    <w:basedOn w:val="10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28" w:customStyle="1">
    <w:name w:val="msonormal"/>
    <w:basedOn w:val="1020"/>
    <w:uiPriority w:val="0"/>
    <w:qFormat/>
    <w:pPr>
      <w:jc w:val="left"/>
      <w:spacing w:before="100" w:beforeAutospacing="1" w:after="100" w:afterAutospacing="1"/>
      <w:widowControl/>
    </w:pPr>
    <w:rPr>
      <w:rFonts w:ascii="宋体" w:hAnsi="宋体" w:eastAsia="宋体" w:cs="宋体"/>
      <w:sz w:val="24"/>
      <w:szCs w:val="24"/>
    </w:rPr>
  </w:style>
  <w:style w:type="paragraph" w:styleId="1529" w:customStyle="1">
    <w:name w:val="xl82"/>
    <w:basedOn w:val="10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530" w:customStyle="1">
    <w:name w:val="xl101"/>
    <w:basedOn w:val="1020"/>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31" w:customStyle="1">
    <w:name w:val="xl91"/>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32" w:customStyle="1">
    <w:name w:val="xl110"/>
    <w:basedOn w:val="1020"/>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33" w:customStyle="1">
    <w:name w:val="flNote"/>
    <w:basedOn w:val="1020"/>
    <w:uiPriority w:val="0"/>
    <w:qFormat/>
    <w:pPr>
      <w:jc w:val="center"/>
      <w:spacing w:before="320" w:after="160" w:line="360" w:lineRule="atLeast"/>
    </w:pPr>
    <w:rPr>
      <w:rFonts w:ascii="Arial" w:hAnsi="Times New Roman" w:eastAsia="黑体"/>
      <w:sz w:val="30"/>
      <w:szCs w:val="20"/>
    </w:rPr>
  </w:style>
  <w:style w:type="paragraph" w:styleId="1534" w:customStyle="1">
    <w:name w:val="xl98"/>
    <w:basedOn w:val="1020"/>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35" w:customStyle="1">
    <w:name w:val="Char Char Char Char"/>
    <w:basedOn w:val="1262"/>
    <w:uiPriority w:val="0"/>
    <w:qFormat/>
    <w:pPr>
      <w:spacing w:line="360" w:lineRule="auto"/>
    </w:pPr>
    <w:rPr>
      <w:rFonts w:ascii="Tahoma" w:hAnsi="Tahoma"/>
      <w:sz w:val="24"/>
      <w:szCs w:val="24"/>
    </w:rPr>
  </w:style>
  <w:style w:type="paragraph" w:styleId="1536" w:customStyle="1">
    <w:name w:val="xl71"/>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37" w:customStyle="1">
    <w:name w:val="样式 (西文) 仿宋_GB2312 居中 行距: 1.5 倍行距"/>
    <w:basedOn w:val="1020"/>
    <w:uiPriority w:val="0"/>
    <w:qFormat/>
    <w:pPr>
      <w:jc w:val="center"/>
      <w:spacing w:line="360" w:lineRule="auto"/>
    </w:pPr>
    <w:rPr>
      <w:rFonts w:ascii="宋体" w:hAnsi="宋体" w:eastAsia="宋体" w:cs="宋体"/>
      <w:szCs w:val="20"/>
    </w:rPr>
  </w:style>
  <w:style w:type="paragraph" w:styleId="1538" w:customStyle="1">
    <w:name w:val="xl80"/>
    <w:basedOn w:val="102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539" w:customStyle="1">
    <w:name w:val="H6"/>
    <w:basedOn w:val="1020"/>
    <w:next w:val="1020"/>
    <w:uiPriority w:val="0"/>
    <w:qFormat/>
    <w:pPr>
      <w:jc w:val="left"/>
      <w:keepNext/>
      <w:spacing w:before="100" w:after="100"/>
      <w:outlineLvl w:val="6"/>
    </w:pPr>
    <w:rPr>
      <w:rFonts w:ascii="Times New Roman" w:hAnsi="Times New Roman" w:eastAsia="宋体"/>
      <w:b/>
      <w:sz w:val="16"/>
      <w:szCs w:val="20"/>
    </w:rPr>
  </w:style>
  <w:style w:type="paragraph" w:styleId="1540" w:customStyle="1">
    <w:name w:val="菲页(卷)"/>
    <w:basedOn w:val="1240"/>
    <w:next w:val="1493"/>
    <w:uiPriority w:val="0"/>
    <w:qFormat/>
    <w:pPr>
      <w:ind w:left="1380" w:hanging="855"/>
      <w:tabs>
        <w:tab w:val="left" w:pos="1380" w:leader="none"/>
      </w:tabs>
      <w:outlineLvl w:val="1"/>
    </w:pPr>
  </w:style>
  <w:style w:type="paragraph" w:styleId="1541" w:customStyle="1">
    <w:name w:val="xl49"/>
    <w:basedOn w:val="10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542" w:customStyle="1">
    <w:name w:val="font18"/>
    <w:basedOn w:val="1020"/>
    <w:uiPriority w:val="0"/>
    <w:qFormat/>
    <w:pPr>
      <w:jc w:val="left"/>
      <w:spacing w:before="100" w:beforeAutospacing="1" w:after="100" w:afterAutospacing="1"/>
      <w:widowControl/>
    </w:pPr>
    <w:rPr>
      <w:rFonts w:ascii="Times New Roman" w:hAnsi="Times New Roman" w:eastAsia="宋体"/>
      <w:sz w:val="22"/>
    </w:rPr>
  </w:style>
  <w:style w:type="paragraph" w:styleId="1543" w:customStyle="1">
    <w:name w:val="样式 小四 段前: 5 磅 段后: 5 磅 首行缩进:  2 字符"/>
    <w:basedOn w:val="1020"/>
    <w:uiPriority w:val="0"/>
    <w:qFormat/>
    <w:pPr>
      <w:spacing w:line="360" w:lineRule="auto"/>
    </w:pPr>
    <w:rPr>
      <w:rFonts w:ascii="宋体" w:hAnsi="宋体" w:eastAsia="宋体"/>
      <w:szCs w:val="21"/>
    </w:rPr>
  </w:style>
  <w:style w:type="paragraph" w:styleId="1544" w:customStyle="1">
    <w:name w:val="xl81"/>
    <w:basedOn w:val="1020"/>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545" w:customStyle="1">
    <w:name w:val="font10"/>
    <w:basedOn w:val="1020"/>
    <w:uiPriority w:val="0"/>
    <w:qFormat/>
    <w:pPr>
      <w:jc w:val="left"/>
      <w:spacing w:before="100" w:beforeAutospacing="1" w:after="100" w:afterAutospacing="1"/>
      <w:widowControl/>
    </w:pPr>
    <w:rPr>
      <w:rFonts w:ascii="Times New Roman" w:hAnsi="Times New Roman" w:eastAsia="宋体"/>
      <w:color w:val="000000"/>
      <w:sz w:val="18"/>
      <w:szCs w:val="18"/>
    </w:rPr>
  </w:style>
  <w:style w:type="paragraph" w:styleId="1546" w:customStyle="1">
    <w:name w:val="彩色列表1"/>
    <w:basedOn w:val="1020"/>
    <w:uiPriority w:val="99"/>
    <w:qFormat/>
    <w:pPr>
      <w:ind w:firstLine="420"/>
    </w:pPr>
    <w:rPr>
      <w:rFonts w:ascii="Calibri" w:hAnsi="Calibri" w:eastAsia="宋体"/>
    </w:rPr>
  </w:style>
  <w:style w:type="paragraph" w:styleId="1547" w:customStyle="1">
    <w:name w:val="xl104"/>
    <w:basedOn w:val="1020"/>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48" w:customStyle="1">
    <w:name w:val="_Style 9"/>
    <w:basedOn w:val="1020"/>
    <w:uiPriority w:val="0"/>
    <w:qFormat/>
    <w:pPr>
      <w:ind w:firstLine="420"/>
    </w:pPr>
    <w:rPr>
      <w:rFonts w:ascii="Calibri" w:hAnsi="Calibri" w:eastAsia="宋体"/>
      <w:szCs w:val="24"/>
    </w:rPr>
  </w:style>
  <w:style w:type="paragraph" w:styleId="1549">
    <w:name w:val="List Paragraph"/>
    <w:basedOn w:val="1020"/>
    <w:uiPriority w:val="0"/>
    <w:qFormat/>
    <w:pPr>
      <w:ind w:firstLine="420"/>
    </w:pPr>
    <w:rPr>
      <w:rFonts w:ascii="Times New Roman" w:hAnsi="Times New Roman" w:eastAsia="宋体"/>
      <w:szCs w:val="21"/>
    </w:rPr>
  </w:style>
  <w:style w:type="paragraph" w:styleId="1550" w:customStyle="1">
    <w:name w:val="xl43"/>
    <w:basedOn w:val="102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551" w:customStyle="1">
    <w:name w:val="xl51"/>
    <w:basedOn w:val="10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552" w:customStyle="1">
    <w:name w:val="xl31"/>
    <w:basedOn w:val="10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53" w:customStyle="1">
    <w:name w:val="标题_0"/>
    <w:basedOn w:val="1554"/>
    <w:uiPriority w:val="0"/>
    <w:qFormat/>
    <w:pPr>
      <w:jc w:val="center"/>
      <w:spacing w:before="120" w:after="120" w:line="360" w:lineRule="auto"/>
      <w:outlineLvl w:val="0"/>
    </w:pPr>
    <w:rPr>
      <w:rFonts w:ascii="黑体" w:hAnsi="Arial" w:eastAsia="黑体"/>
      <w:b/>
      <w:bCs/>
      <w:sz w:val="32"/>
      <w:szCs w:val="32"/>
    </w:rPr>
  </w:style>
  <w:style w:type="paragraph" w:styleId="1554" w:customStyle="1">
    <w:name w:val="正文_1"/>
    <w:uiPriority w:val="0"/>
    <w:qFormat/>
    <w:rPr>
      <w:rFonts w:hint="default" w:ascii="Times New Roman" w:hAnsi="Times New Roman" w:eastAsia="宋体" w:cs="Times New Roman"/>
      <w:sz w:val="21"/>
      <w:szCs w:val="22"/>
      <w:lang w:val="en-US" w:eastAsia="zh-CN" w:bidi="ar-SA"/>
    </w:rPr>
  </w:style>
  <w:style w:type="paragraph" w:styleId="1555" w:customStyle="1">
    <w:name w:val="Address"/>
    <w:basedOn w:val="1020"/>
    <w:next w:val="1020"/>
    <w:uiPriority w:val="0"/>
    <w:qFormat/>
    <w:pPr>
      <w:jc w:val="left"/>
    </w:pPr>
    <w:rPr>
      <w:rFonts w:ascii="Times New Roman" w:hAnsi="Times New Roman" w:eastAsia="宋体"/>
      <w:i/>
      <w:sz w:val="24"/>
      <w:szCs w:val="20"/>
    </w:rPr>
  </w:style>
  <w:style w:type="paragraph" w:styleId="1556" w:customStyle="1">
    <w:name w:val="xl367"/>
    <w:basedOn w:val="1020"/>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557" w:customStyle="1">
    <w:name w:val="Char11"/>
    <w:basedOn w:val="1020"/>
    <w:uiPriority w:val="0"/>
    <w:qFormat/>
    <w:rPr>
      <w:rFonts w:ascii="Times New Roman" w:hAnsi="Times New Roman" w:eastAsia="宋体"/>
      <w:szCs w:val="24"/>
    </w:rPr>
  </w:style>
  <w:style w:type="paragraph" w:styleId="1558" w:customStyle="1">
    <w:name w:val="xl38"/>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2"/>
      <w:szCs w:val="12"/>
    </w:rPr>
  </w:style>
  <w:style w:type="paragraph" w:styleId="1559" w:customStyle="1">
    <w:name w:val="Definition List"/>
    <w:basedOn w:val="1020"/>
    <w:next w:val="1560"/>
    <w:uiPriority w:val="0"/>
    <w:qFormat/>
    <w:pPr>
      <w:ind w:left="360"/>
      <w:jc w:val="left"/>
    </w:pPr>
    <w:rPr>
      <w:rFonts w:ascii="Times New Roman" w:hAnsi="Times New Roman" w:eastAsia="宋体"/>
      <w:sz w:val="24"/>
      <w:szCs w:val="20"/>
    </w:rPr>
  </w:style>
  <w:style w:type="paragraph" w:styleId="1560" w:customStyle="1">
    <w:name w:val="Definition Term"/>
    <w:basedOn w:val="1020"/>
    <w:next w:val="1559"/>
    <w:uiPriority w:val="0"/>
    <w:qFormat/>
    <w:pPr>
      <w:jc w:val="left"/>
    </w:pPr>
    <w:rPr>
      <w:rFonts w:ascii="Times New Roman" w:hAnsi="Times New Roman" w:eastAsia="宋体"/>
      <w:sz w:val="24"/>
      <w:szCs w:val="20"/>
    </w:rPr>
  </w:style>
  <w:style w:type="paragraph" w:styleId="1561" w:customStyle="1">
    <w:name w:val="font16"/>
    <w:basedOn w:val="1020"/>
    <w:uiPriority w:val="0"/>
    <w:qFormat/>
    <w:pPr>
      <w:jc w:val="left"/>
      <w:spacing w:before="100" w:beforeAutospacing="1" w:after="100" w:afterAutospacing="1"/>
      <w:widowControl/>
    </w:pPr>
    <w:rPr>
      <w:rFonts w:ascii="Times New Roman" w:hAnsi="Times New Roman" w:eastAsia="宋体"/>
      <w:color w:val="000000"/>
      <w:sz w:val="12"/>
      <w:szCs w:val="12"/>
    </w:rPr>
  </w:style>
  <w:style w:type="paragraph" w:styleId="1562" w:customStyle="1">
    <w:name w:val="xl48"/>
    <w:basedOn w:val="102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563"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64" w:customStyle="1">
    <w:name w:val="xl96"/>
    <w:basedOn w:val="102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565" w:customStyle="1">
    <w:name w:val="Char Char Char Char1"/>
    <w:basedOn w:val="1020"/>
    <w:uiPriority w:val="0"/>
    <w:qFormat/>
    <w:pPr>
      <w:jc w:val="left"/>
      <w:spacing w:after="160" w:line="240" w:lineRule="exact"/>
      <w:widowControl/>
    </w:pPr>
    <w:rPr>
      <w:rFonts w:ascii="Verdana" w:hAnsi="Verdana" w:eastAsia="宋体"/>
      <w:sz w:val="20"/>
      <w:szCs w:val="20"/>
      <w:lang w:eastAsia="en-US"/>
    </w:rPr>
  </w:style>
  <w:style w:type="paragraph" w:styleId="1566" w:customStyle="1">
    <w:name w:val="xl76"/>
    <w:basedOn w:val="10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67" w:customStyle="1">
    <w:name w:val="H5"/>
    <w:basedOn w:val="1020"/>
    <w:next w:val="1020"/>
    <w:uiPriority w:val="0"/>
    <w:qFormat/>
    <w:pPr>
      <w:jc w:val="left"/>
      <w:keepNext/>
      <w:spacing w:before="100" w:after="100"/>
      <w:outlineLvl w:val="5"/>
    </w:pPr>
    <w:rPr>
      <w:rFonts w:ascii="Times New Roman" w:hAnsi="Times New Roman" w:eastAsia="宋体"/>
      <w:b/>
      <w:sz w:val="20"/>
      <w:szCs w:val="20"/>
    </w:rPr>
  </w:style>
  <w:style w:type="paragraph" w:styleId="1568" w:customStyle="1">
    <w:name w:val="H4"/>
    <w:basedOn w:val="1020"/>
    <w:next w:val="1020"/>
    <w:uiPriority w:val="0"/>
    <w:qFormat/>
    <w:pPr>
      <w:jc w:val="left"/>
      <w:keepNext/>
      <w:spacing w:before="100" w:after="100"/>
      <w:outlineLvl w:val="4"/>
    </w:pPr>
    <w:rPr>
      <w:rFonts w:ascii="Times New Roman" w:hAnsi="Times New Roman" w:eastAsia="宋体"/>
      <w:b/>
      <w:sz w:val="24"/>
      <w:szCs w:val="20"/>
    </w:rPr>
  </w:style>
  <w:style w:type="paragraph" w:styleId="1569" w:customStyle="1">
    <w:name w:val="xl369"/>
    <w:basedOn w:val="10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70" w:customStyle="1">
    <w:name w:val="xl109"/>
    <w:basedOn w:val="10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571" w:customStyle="1">
    <w:name w:val="标题 4_0"/>
    <w:basedOn w:val="1333"/>
    <w:next w:val="1333"/>
    <w:uiPriority w:val="0"/>
    <w:qFormat/>
    <w:pPr>
      <w:keepLines/>
      <w:keepNext/>
      <w:spacing w:before="280" w:after="290" w:line="372" w:lineRule="auto"/>
      <w:outlineLvl w:val="3"/>
    </w:pPr>
    <w:rPr>
      <w:rFonts w:ascii="Cambria" w:hAnsi="Cambria"/>
      <w:b/>
      <w:bCs/>
      <w:sz w:val="28"/>
      <w:szCs w:val="28"/>
    </w:rPr>
  </w:style>
  <w:style w:type="paragraph" w:styleId="1572" w:customStyle="1">
    <w:name w:val="xl79"/>
    <w:basedOn w:val="102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573" w:customStyle="1">
    <w:name w:val="p0"/>
    <w:basedOn w:val="1020"/>
    <w:uiPriority w:val="0"/>
    <w:qFormat/>
    <w:pPr>
      <w:widowControl/>
    </w:pPr>
    <w:rPr>
      <w:rFonts w:ascii="Calibri" w:hAnsi="Calibri" w:eastAsia="宋体" w:cs="宋体"/>
      <w:szCs w:val="21"/>
    </w:rPr>
  </w:style>
  <w:style w:type="paragraph" w:styleId="1574" w:customStyle="1">
    <w:name w:val="font0"/>
    <w:basedOn w:val="1020"/>
    <w:uiPriority w:val="0"/>
    <w:qFormat/>
    <w:pPr>
      <w:jc w:val="left"/>
      <w:spacing w:before="100" w:beforeAutospacing="1" w:after="100" w:afterAutospacing="1"/>
      <w:widowControl/>
    </w:pPr>
    <w:rPr>
      <w:rFonts w:ascii="宋体" w:hAnsi="宋体" w:eastAsia="宋体" w:cs="宋体"/>
      <w:color w:val="000000"/>
      <w:sz w:val="22"/>
    </w:rPr>
  </w:style>
  <w:style w:type="paragraph" w:styleId="1575" w:customStyle="1">
    <w:name w:val="xl73"/>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76" w:customStyle="1">
    <w:name w:val="font14"/>
    <w:basedOn w:val="1020"/>
    <w:uiPriority w:val="0"/>
    <w:qFormat/>
    <w:pPr>
      <w:jc w:val="left"/>
      <w:spacing w:before="100" w:beforeAutospacing="1" w:after="100" w:afterAutospacing="1"/>
      <w:widowControl/>
    </w:pPr>
    <w:rPr>
      <w:rFonts w:ascii="宋体" w:hAnsi="宋体" w:eastAsia="宋体" w:cs="宋体"/>
      <w:sz w:val="12"/>
      <w:szCs w:val="12"/>
    </w:rPr>
  </w:style>
  <w:style w:type="paragraph" w:styleId="1577" w:customStyle="1">
    <w:name w:val="项目编号3"/>
    <w:basedOn w:val="1020"/>
    <w:next w:val="1020"/>
    <w:uiPriority w:val="0"/>
    <w:qFormat/>
    <w:pPr>
      <w:ind w:firstLine="200"/>
      <w:jc w:val="left"/>
      <w:spacing w:line="360" w:lineRule="auto"/>
      <w:tabs>
        <w:tab w:val="left" w:pos="855" w:leader="none"/>
      </w:tabs>
    </w:pPr>
    <w:rPr>
      <w:rFonts w:ascii="宋体" w:hAnsi="Times New Roman" w:eastAsia="宋体"/>
      <w:sz w:val="24"/>
      <w:szCs w:val="24"/>
    </w:rPr>
  </w:style>
  <w:style w:type="paragraph" w:styleId="1578" w:customStyle="1">
    <w:name w:val="xl40"/>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579" w:customStyle="1">
    <w:name w:val="Normal_1"/>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580" w:customStyle="1">
    <w:name w:val="菲页2"/>
    <w:basedOn w:val="1120"/>
    <w:uiPriority w:val="0"/>
    <w:qFormat/>
    <w:pPr>
      <w:ind w:left="2265" w:hanging="900"/>
      <w:tabs>
        <w:tab w:val="left" w:pos="2265" w:leader="none"/>
      </w:tabs>
    </w:pPr>
    <w:rPr>
      <w:rFonts w:ascii="黑体" w:hAnsi="宋体" w:eastAsia="黑体"/>
      <w:b w:val="0"/>
      <w:sz w:val="44"/>
    </w:rPr>
  </w:style>
  <w:style w:type="paragraph" w:styleId="1581" w:customStyle="1">
    <w:name w:val="xl83"/>
    <w:basedOn w:val="10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582" w:customStyle="1">
    <w:name w:val="xl111"/>
    <w:basedOn w:val="1020"/>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83" w:customStyle="1">
    <w:name w:val="Char Char1 Char"/>
    <w:basedOn w:val="1020"/>
    <w:uiPriority w:val="0"/>
    <w:qFormat/>
    <w:pPr>
      <w:jc w:val="left"/>
      <w:spacing w:after="160" w:line="240" w:lineRule="exact"/>
      <w:widowControl/>
    </w:pPr>
    <w:rPr>
      <w:rFonts w:ascii="仿宋_GB2312" w:hAnsi="Times New Roman" w:eastAsia="仿宋_GB2312"/>
      <w:sz w:val="32"/>
      <w:szCs w:val="32"/>
    </w:rPr>
  </w:style>
  <w:style w:type="paragraph" w:styleId="1584" w:customStyle="1">
    <w:name w:val="样式 标题 2 + Times New Roman 四号 非加粗 段前: 5 磅 段后: 0 磅 行距: 固定值 20..."/>
    <w:basedOn w:val="1241"/>
    <w:uiPriority w:val="0"/>
    <w:qFormat/>
    <w:pPr>
      <w:jc w:val="center"/>
      <w:spacing w:before="100" w:after="0" w:line="400" w:lineRule="exact"/>
    </w:pPr>
    <w:rPr>
      <w:rFonts w:ascii="Times New Roman" w:hAnsi="Times New Roman" w:cs="宋体"/>
      <w:b w:val="0"/>
      <w:bCs w:val="0"/>
      <w:sz w:val="28"/>
      <w:szCs w:val="20"/>
    </w:rPr>
  </w:style>
  <w:style w:type="paragraph" w:styleId="1585" w:customStyle="1">
    <w:name w:val="font13"/>
    <w:basedOn w:val="1020"/>
    <w:uiPriority w:val="0"/>
    <w:qFormat/>
    <w:pPr>
      <w:jc w:val="left"/>
      <w:spacing w:before="100" w:beforeAutospacing="1" w:after="100" w:afterAutospacing="1"/>
      <w:widowControl/>
    </w:pPr>
    <w:rPr>
      <w:rFonts w:ascii="Times New Roman" w:hAnsi="Times New Roman" w:eastAsia="宋体"/>
      <w:b/>
      <w:bCs/>
      <w:sz w:val="22"/>
    </w:rPr>
  </w:style>
  <w:style w:type="paragraph" w:styleId="1586" w:customStyle="1">
    <w:name w:val="H3"/>
    <w:basedOn w:val="1020"/>
    <w:next w:val="1020"/>
    <w:uiPriority w:val="0"/>
    <w:qFormat/>
    <w:pPr>
      <w:jc w:val="left"/>
      <w:keepNext/>
      <w:spacing w:before="100" w:after="100"/>
      <w:outlineLvl w:val="3"/>
    </w:pPr>
    <w:rPr>
      <w:rFonts w:ascii="Times New Roman" w:hAnsi="Times New Roman" w:eastAsia="宋体"/>
      <w:b/>
      <w:sz w:val="28"/>
      <w:szCs w:val="20"/>
    </w:rPr>
  </w:style>
  <w:style w:type="paragraph" w:styleId="1587" w:customStyle="1">
    <w:name w:val="xl100"/>
    <w:basedOn w:val="1020"/>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88" w:customStyle="1">
    <w:name w:val="Char Char Char Char Char Char Char"/>
    <w:basedOn w:val="1020"/>
    <w:uiPriority w:val="0"/>
    <w:qFormat/>
    <w:pPr>
      <w:jc w:val="left"/>
      <w:spacing w:after="160" w:line="240" w:lineRule="exact"/>
      <w:widowControl/>
    </w:pPr>
    <w:rPr>
      <w:rFonts w:ascii="Times New Roman" w:hAnsi="Times New Roman" w:eastAsia="宋体"/>
      <w:szCs w:val="24"/>
    </w:rPr>
  </w:style>
  <w:style w:type="paragraph" w:styleId="1589" w:customStyle="1">
    <w:name w:val="xl90"/>
    <w:basedOn w:val="10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90" w:customStyle="1">
    <w:name w:val="xl365"/>
    <w:basedOn w:val="1020"/>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591" w:customStyle="1">
    <w:name w:val="正文文本_0"/>
    <w:basedOn w:val="1333"/>
    <w:uiPriority w:val="0"/>
    <w:qFormat/>
    <w:pPr>
      <w:ind w:left="72" w:right="30"/>
      <w:jc w:val="center"/>
      <w:spacing w:after="60" w:line="360" w:lineRule="atLeast"/>
    </w:pPr>
    <w:rPr>
      <w:sz w:val="20"/>
      <w:szCs w:val="20"/>
    </w:rPr>
  </w:style>
  <w:style w:type="paragraph" w:styleId="1592" w:customStyle="1">
    <w:name w:val="font11"/>
    <w:basedOn w:val="1020"/>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593" w:customStyle="1">
    <w:name w:val="修订1"/>
    <w:uiPriority w:val="0"/>
    <w:unhideWhenUsed/>
    <w:qFormat/>
    <w:rPr>
      <w:rFonts w:hint="default" w:ascii="Times New Roman" w:hAnsi="Times New Roman" w:eastAsia="宋体" w:cs="Times New Roman"/>
      <w:sz w:val="21"/>
      <w:lang w:val="en-US" w:eastAsia="zh-CN" w:bidi="ar-SA"/>
    </w:rPr>
  </w:style>
  <w:style w:type="paragraph" w:styleId="1594" w:customStyle="1">
    <w:name w:val="xl105"/>
    <w:basedOn w:val="102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595" w:customStyle="1">
    <w:name w:val="font6"/>
    <w:basedOn w:val="1020"/>
    <w:uiPriority w:val="0"/>
    <w:qFormat/>
    <w:pPr>
      <w:jc w:val="left"/>
      <w:spacing w:before="100" w:beforeAutospacing="1" w:after="100" w:afterAutospacing="1"/>
      <w:widowControl/>
    </w:pPr>
    <w:rPr>
      <w:rFonts w:ascii="宋体" w:hAnsi="宋体" w:eastAsia="宋体" w:cs="宋体"/>
      <w:sz w:val="22"/>
    </w:rPr>
  </w:style>
  <w:style w:type="paragraph" w:styleId="1596" w:customStyle="1">
    <w:name w:val="xl87"/>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97" w:customStyle="1">
    <w:name w:val="默认段落字体 Para Char"/>
    <w:basedOn w:val="1020"/>
    <w:uiPriority w:val="0"/>
    <w:qFormat/>
    <w:pPr>
      <w:ind w:firstLine="200"/>
      <w:spacing w:line="360" w:lineRule="auto"/>
    </w:pPr>
    <w:rPr>
      <w:rFonts w:ascii="宋体" w:hAnsi="宋体" w:eastAsia="宋体" w:cs="宋体"/>
      <w:sz w:val="24"/>
      <w:szCs w:val="24"/>
    </w:rPr>
  </w:style>
  <w:style w:type="paragraph" w:styleId="1598" w:customStyle="1">
    <w:name w:val="纯文本3"/>
    <w:basedOn w:val="1020"/>
    <w:uiPriority w:val="0"/>
    <w:qFormat/>
    <w:rPr>
      <w:rFonts w:ascii="宋体" w:hAnsi="Courier New" w:eastAsia="楷体_GB2312"/>
      <w:sz w:val="26"/>
      <w:szCs w:val="20"/>
    </w:rPr>
  </w:style>
  <w:style w:type="paragraph" w:styleId="1599" w:customStyle="1">
    <w:name w:val="Char Char Char Char Char Char1 Char"/>
    <w:basedOn w:val="1020"/>
    <w:uiPriority w:val="0"/>
    <w:qFormat/>
    <w:pPr>
      <w:jc w:val="left"/>
      <w:spacing w:after="160" w:line="240" w:lineRule="exact"/>
      <w:widowControl/>
    </w:pPr>
    <w:rPr>
      <w:rFonts w:ascii="Verdana" w:hAnsi="Verdana" w:eastAsia="宋体"/>
      <w:szCs w:val="20"/>
      <w:lang w:eastAsia="en-US"/>
    </w:rPr>
  </w:style>
  <w:style w:type="paragraph" w:styleId="1600" w:customStyle="1">
    <w:name w:val="xl50"/>
    <w:basedOn w:val="102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601" w:customStyle="1">
    <w:name w:val="xl85"/>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602" w:customStyle="1">
    <w:name w:val="样式 标题 3 + (中文) 黑体 小四 非加粗 段前: 7.8 磅 段后: 0 磅 行距: 固定值 20 磅"/>
    <w:basedOn w:val="1120"/>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603" w:customStyle="1">
    <w:name w:val="xl94"/>
    <w:basedOn w:val="1020"/>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604" w:customStyle="1">
    <w:name w:val="表格"/>
    <w:basedOn w:val="1020"/>
    <w:uiPriority w:val="0"/>
    <w:qFormat/>
    <w:pPr>
      <w:jc w:val="center"/>
    </w:pPr>
    <w:rPr>
      <w:rFonts w:ascii="华文细黑" w:hAnsi="华文细黑" w:eastAsia="宋体"/>
      <w:szCs w:val="20"/>
    </w:rPr>
  </w:style>
  <w:style w:type="paragraph" w:styleId="1605" w:customStyle="1">
    <w:name w:val="默认段落字体 Para Char Char Char Char Char Char Char"/>
    <w:basedOn w:val="1020"/>
    <w:uiPriority w:val="0"/>
    <w:qFormat/>
    <w:rPr>
      <w:rFonts w:ascii="Tahoma" w:hAnsi="Tahoma" w:eastAsia="宋体"/>
      <w:sz w:val="24"/>
      <w:szCs w:val="20"/>
    </w:rPr>
  </w:style>
  <w:style w:type="paragraph" w:styleId="1606" w:customStyle="1">
    <w:name w:val="xl27"/>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607" w:customStyle="1">
    <w:name w:val="xl92"/>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608" w:customStyle="1">
    <w:name w:val="Char Char2"/>
    <w:basedOn w:val="1020"/>
    <w:uiPriority w:val="0"/>
    <w:qFormat/>
    <w:pPr>
      <w:spacing w:line="240" w:lineRule="exact"/>
    </w:pPr>
    <w:rPr>
      <w:rFonts w:ascii="Times New Roman" w:hAnsi="Times New Roman" w:eastAsia="宋体"/>
      <w:szCs w:val="24"/>
    </w:rPr>
  </w:style>
  <w:style w:type="paragraph" w:styleId="1609" w:customStyle="1">
    <w:name w:val="Blockquote"/>
    <w:basedOn w:val="1020"/>
    <w:uiPriority w:val="0"/>
    <w:qFormat/>
    <w:pPr>
      <w:ind w:left="360" w:right="360"/>
      <w:jc w:val="left"/>
      <w:spacing w:before="100" w:after="100"/>
    </w:pPr>
    <w:rPr>
      <w:rFonts w:ascii="Calibri" w:hAnsi="Calibri" w:eastAsia="宋体"/>
      <w:sz w:val="24"/>
      <w:szCs w:val="20"/>
    </w:rPr>
  </w:style>
  <w:style w:type="paragraph" w:styleId="1610" w:customStyle="1">
    <w:name w:val="xl371"/>
    <w:basedOn w:val="10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11" w:customStyle="1">
    <w:name w:val="Table Paragraph"/>
    <w:basedOn w:val="1020"/>
    <w:uiPriority w:val="0"/>
    <w:qFormat/>
    <w:pPr>
      <w:jc w:val="left"/>
    </w:pPr>
    <w:rPr>
      <w:rFonts w:ascii="PMingLiU" w:hAnsi="PMingLiU" w:eastAsia="PMingLiU" w:cs="PMingLiU"/>
      <w:sz w:val="22"/>
      <w:lang w:val="zh-CN" w:bidi="zh-CN"/>
    </w:rPr>
  </w:style>
  <w:style w:type="paragraph" w:styleId="1612" w:customStyle="1">
    <w:name w:val="xl69"/>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13" w:customStyle="1">
    <w:name w:val="xl97"/>
    <w:basedOn w:val="10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614" w:customStyle="1">
    <w:name w:val="xl106"/>
    <w:basedOn w:val="10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615" w:customStyle="1">
    <w:name w:val="font19"/>
    <w:basedOn w:val="1020"/>
    <w:uiPriority w:val="0"/>
    <w:qFormat/>
    <w:pPr>
      <w:jc w:val="left"/>
      <w:spacing w:before="100" w:beforeAutospacing="1" w:after="100" w:afterAutospacing="1"/>
      <w:widowControl/>
    </w:pPr>
    <w:rPr>
      <w:rFonts w:ascii="Times New Roman" w:hAnsi="Times New Roman" w:eastAsia="宋体"/>
      <w:sz w:val="12"/>
      <w:szCs w:val="12"/>
    </w:rPr>
  </w:style>
  <w:style w:type="paragraph" w:styleId="1616" w:customStyle="1">
    <w:name w:val="xl89"/>
    <w:basedOn w:val="10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617" w:customStyle="1">
    <w:name w:val="_Style 37"/>
    <w:basedOn w:val="1020"/>
    <w:next w:val="1020"/>
    <w:uiPriority w:val="0"/>
    <w:qFormat/>
    <w:rPr>
      <w:rFonts w:ascii="Times New Roman" w:hAnsi="Times New Roman" w:eastAsia="宋体"/>
      <w:szCs w:val="24"/>
    </w:rPr>
  </w:style>
  <w:style w:type="paragraph" w:styleId="1618" w:customStyle="1">
    <w:name w:val="font15"/>
    <w:basedOn w:val="1020"/>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619" w:customStyle="1">
    <w:name w:val="目录"/>
    <w:basedOn w:val="1020"/>
    <w:uiPriority w:val="0"/>
    <w:qFormat/>
    <w:pPr>
      <w:jc w:val="center"/>
      <w:widowControl/>
    </w:pPr>
    <w:rPr>
      <w:rFonts w:ascii="宋体" w:hAnsi="Times New Roman" w:eastAsia="宋体"/>
      <w:b/>
      <w:sz w:val="36"/>
      <w:szCs w:val="20"/>
    </w:rPr>
  </w:style>
  <w:style w:type="paragraph" w:styleId="1620" w:customStyle="1">
    <w:name w:val="2-2ji"/>
    <w:basedOn w:val="1241"/>
    <w:uiPriority w:val="0"/>
    <w:qFormat/>
    <w:pPr>
      <w:jc w:val="center"/>
      <w:spacing w:before="0" w:after="0" w:line="360" w:lineRule="auto"/>
    </w:pPr>
    <w:rPr>
      <w:rFonts w:ascii="宋体" w:hAnsi="宋体" w:eastAsia="宋体"/>
      <w:sz w:val="36"/>
      <w:szCs w:val="24"/>
    </w:rPr>
  </w:style>
  <w:style w:type="paragraph" w:styleId="1621" w:customStyle="1">
    <w:name w:val="xl77"/>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622" w:customStyle="1">
    <w:name w:val="List Paragraph1"/>
    <w:basedOn w:val="1020"/>
    <w:uiPriority w:val="0"/>
    <w:qFormat/>
    <w:pPr>
      <w:ind w:firstLine="420"/>
    </w:pPr>
    <w:rPr>
      <w:rFonts w:ascii="Times New Roman" w:hAnsi="Times New Roman" w:eastAsia="宋体"/>
      <w:szCs w:val="21"/>
    </w:rPr>
  </w:style>
  <w:style w:type="paragraph" w:styleId="1623" w:customStyle="1">
    <w:name w:val="TOC 标题2"/>
    <w:basedOn w:val="1240"/>
    <w:next w:val="1020"/>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624" w:customStyle="1">
    <w:name w:val="xl103"/>
    <w:basedOn w:val="1020"/>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625" w:customStyle="1">
    <w:name w:val="font9"/>
    <w:basedOn w:val="1020"/>
    <w:uiPriority w:val="0"/>
    <w:qFormat/>
    <w:pPr>
      <w:jc w:val="left"/>
      <w:spacing w:before="100" w:beforeAutospacing="1" w:after="100" w:afterAutospacing="1"/>
      <w:widowControl/>
    </w:pPr>
    <w:rPr>
      <w:rFonts w:ascii="Times New Roman" w:hAnsi="Times New Roman" w:eastAsia="宋体"/>
      <w:color w:val="000000"/>
      <w:sz w:val="20"/>
      <w:szCs w:val="20"/>
    </w:rPr>
  </w:style>
  <w:style w:type="paragraph" w:styleId="1626" w:customStyle="1">
    <w:name w:val="xl366"/>
    <w:basedOn w:val="1020"/>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627" w:customStyle="1">
    <w:name w:val="样式 标题 1 + 黑体 三号 非加粗 居中 段前: 6 磅 段后: 6 磅 行距: 固定值 20 磅"/>
    <w:basedOn w:val="1240"/>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628" w:customStyle="1">
    <w:name w:val="xl107"/>
    <w:basedOn w:val="1020"/>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629" w:customStyle="1">
    <w:name w:val="xl368"/>
    <w:basedOn w:val="10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30" w:customStyle="1">
    <w:name w:val="xl68"/>
    <w:basedOn w:val="1020"/>
    <w:uiPriority w:val="0"/>
    <w:qFormat/>
    <w:pPr>
      <w:jc w:val="center"/>
      <w:spacing w:before="100" w:beforeAutospacing="1" w:after="100" w:afterAutospacing="1"/>
      <w:widowControl/>
    </w:pPr>
    <w:rPr>
      <w:rFonts w:ascii="宋体" w:hAnsi="宋体" w:eastAsia="宋体" w:cs="宋体"/>
      <w:sz w:val="20"/>
      <w:szCs w:val="20"/>
    </w:rPr>
  </w:style>
  <w:style w:type="paragraph" w:styleId="1631" w:customStyle="1">
    <w:name w:val="样式1"/>
    <w:basedOn w:val="1020"/>
    <w:uiPriority w:val="0"/>
    <w:qFormat/>
    <w:pPr>
      <w:spacing w:before="120" w:after="120" w:line="300" w:lineRule="auto"/>
    </w:pPr>
    <w:rPr>
      <w:rFonts w:ascii="宋体" w:hAnsi="宋体" w:eastAsia="宋体"/>
      <w:b/>
      <w:sz w:val="24"/>
      <w:szCs w:val="20"/>
    </w:rPr>
  </w:style>
  <w:style w:type="paragraph" w:styleId="1632" w:customStyle="1">
    <w:name w:val="xl88"/>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633" w:customStyle="1">
    <w:name w:val="xl84"/>
    <w:basedOn w:val="1020"/>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634"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635" w:customStyle="1">
    <w:name w:val="xl47"/>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36" w:customStyle="1">
    <w:name w:val="z-Bottom of Form"/>
    <w:next w:val="1020"/>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637" w:customStyle="1">
    <w:name w:val="z-Top of Form"/>
    <w:next w:val="1020"/>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638" w:customStyle="1">
    <w:name w:val="xl26"/>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639" w:customStyle="1">
    <w:name w:val="xl32"/>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640" w:customStyle="1">
    <w:name w:val="Char Char Char Char Char Char Char Char Char Char"/>
    <w:basedOn w:val="1020"/>
    <w:uiPriority w:val="0"/>
    <w:qFormat/>
    <w:pPr>
      <w:ind w:left="432" w:hanging="432"/>
      <w:tabs>
        <w:tab w:val="left" w:pos="898" w:leader="none"/>
      </w:tabs>
    </w:pPr>
    <w:rPr>
      <w:rFonts w:ascii="Times New Roman" w:hAnsi="Times New Roman" w:eastAsia="宋体"/>
      <w:sz w:val="24"/>
      <w:szCs w:val="24"/>
    </w:rPr>
  </w:style>
  <w:style w:type="paragraph" w:styleId="1641" w:customStyle="1">
    <w:name w:val="xl41"/>
    <w:basedOn w:val="102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642" w:customStyle="1">
    <w:name w:val="xl29"/>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0"/>
      <w:szCs w:val="20"/>
    </w:rPr>
  </w:style>
  <w:style w:type="paragraph" w:styleId="1643" w:customStyle="1">
    <w:name w:val="菲页1"/>
    <w:basedOn w:val="1241"/>
    <w:uiPriority w:val="0"/>
    <w:qFormat/>
    <w:pPr>
      <w:jc w:val="center"/>
      <w:spacing w:before="312" w:after="312" w:line="360" w:lineRule="auto"/>
      <w:widowControl/>
    </w:pPr>
    <w:rPr>
      <w:rFonts w:ascii="黑体" w:hAnsi="宋体"/>
      <w:b w:val="0"/>
      <w:color w:val="000000"/>
      <w:sz w:val="52"/>
      <w:szCs w:val="20"/>
    </w:rPr>
  </w:style>
  <w:style w:type="paragraph" w:styleId="1644" w:customStyle="1">
    <w:name w:val="xl33"/>
    <w:basedOn w:val="10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645" w:customStyle="1">
    <w:name w:val="font8"/>
    <w:basedOn w:val="1020"/>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646" w:customStyle="1">
    <w:name w:val="xl93"/>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647" w:customStyle="1">
    <w:name w:val="Char Char Char Char Char Char Char Char Char Char1"/>
    <w:basedOn w:val="1020"/>
    <w:uiPriority w:val="0"/>
    <w:qFormat/>
    <w:pPr>
      <w:ind w:left="315" w:hanging="315"/>
      <w:tabs>
        <w:tab w:val="left" w:pos="315" w:leader="none"/>
      </w:tabs>
    </w:pPr>
    <w:rPr>
      <w:rFonts w:ascii="Times New Roman" w:hAnsi="Times New Roman" w:eastAsia="宋体"/>
      <w:sz w:val="24"/>
      <w:szCs w:val="24"/>
    </w:rPr>
  </w:style>
  <w:style w:type="paragraph" w:styleId="1648" w:customStyle="1">
    <w:name w:val="xl22"/>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649" w:customStyle="1">
    <w:name w:val="默认段落字体 Para Char Char Char"/>
    <w:basedOn w:val="1020"/>
    <w:uiPriority w:val="0"/>
    <w:qFormat/>
    <w:rPr>
      <w:rFonts w:ascii="Times New Roman" w:hAnsi="Times New Roman" w:eastAsia="宋体"/>
      <w:szCs w:val="24"/>
    </w:rPr>
  </w:style>
  <w:style w:type="paragraph" w:styleId="1650"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51" w:customStyle="1">
    <w:name w:val="文档正文"/>
    <w:basedOn w:val="1020"/>
    <w:uiPriority w:val="0"/>
    <w:qFormat/>
    <w:pPr>
      <w:ind w:left="315" w:hanging="315"/>
      <w:spacing w:line="300" w:lineRule="auto"/>
      <w:tabs>
        <w:tab w:val="left" w:pos="315" w:leader="none"/>
        <w:tab w:val="left" w:pos="980" w:leader="none"/>
      </w:tabs>
    </w:pPr>
    <w:rPr>
      <w:rFonts w:ascii="仿宋_GB2312" w:hAnsi="宋体" w:eastAsia="宋体"/>
      <w:sz w:val="24"/>
      <w:szCs w:val="20"/>
    </w:rPr>
  </w:style>
  <w:style w:type="paragraph" w:styleId="1652" w:customStyle="1">
    <w:name w:val="font5"/>
    <w:basedOn w:val="1020"/>
    <w:uiPriority w:val="0"/>
    <w:qFormat/>
    <w:pPr>
      <w:jc w:val="left"/>
      <w:spacing w:before="100" w:beforeAutospacing="1" w:after="100" w:afterAutospacing="1"/>
      <w:widowControl/>
    </w:pPr>
    <w:rPr>
      <w:rFonts w:ascii="宋体" w:hAnsi="宋体" w:eastAsia="宋体" w:cs="宋体"/>
      <w:sz w:val="18"/>
      <w:szCs w:val="18"/>
    </w:rPr>
  </w:style>
  <w:style w:type="paragraph" w:styleId="1653" w:customStyle="1">
    <w:name w:val="xl44"/>
    <w:basedOn w:val="1020"/>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sz w:val="22"/>
    </w:rPr>
  </w:style>
  <w:style w:type="paragraph" w:styleId="1654" w:customStyle="1">
    <w:name w:val="正文缩进_0"/>
    <w:basedOn w:val="1554"/>
    <w:uiPriority w:val="0"/>
    <w:qFormat/>
    <w:pPr>
      <w:ind w:firstLine="420"/>
      <w:jc w:val="both"/>
      <w:widowControl w:val="off"/>
    </w:pPr>
    <w:rPr>
      <w:u w:val="single"/>
    </w:rPr>
  </w:style>
  <w:style w:type="paragraph" w:styleId="1655" w:customStyle="1">
    <w:name w:val="xl364"/>
    <w:basedOn w:val="10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56" w:customStyle="1">
    <w:name w:val="Preformatted"/>
    <w:basedOn w:val="1020"/>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szCs w:val="20"/>
    </w:rPr>
  </w:style>
  <w:style w:type="paragraph" w:styleId="1657" w:customStyle="1">
    <w:name w:val="xl112"/>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658" w:customStyle="1">
    <w:name w:val="H2"/>
    <w:basedOn w:val="1020"/>
    <w:next w:val="1020"/>
    <w:uiPriority w:val="0"/>
    <w:qFormat/>
    <w:pPr>
      <w:jc w:val="left"/>
      <w:keepNext/>
      <w:spacing w:before="100" w:after="100"/>
      <w:outlineLvl w:val="2"/>
    </w:pPr>
    <w:rPr>
      <w:rFonts w:ascii="Times New Roman" w:hAnsi="Times New Roman" w:eastAsia="宋体"/>
      <w:b/>
      <w:sz w:val="36"/>
      <w:szCs w:val="20"/>
    </w:rPr>
  </w:style>
  <w:style w:type="paragraph" w:styleId="1659" w:customStyle="1">
    <w:name w:val="xl74"/>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660" w:customStyle="1">
    <w:name w:val="xl86"/>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661" w:customStyle="1">
    <w:name w:val="xl72"/>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662" w:customStyle="1">
    <w:name w:val="xl24"/>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663" w:customStyle="1">
    <w:name w:val="xl75"/>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64" w:customStyle="1">
    <w:name w:val="xl362"/>
    <w:basedOn w:val="10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65" w:customStyle="1">
    <w:name w:val="xl30"/>
    <w:basedOn w:val="10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666" w:customStyle="1">
    <w:name w:val="xl34"/>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18"/>
      <w:szCs w:val="18"/>
    </w:rPr>
  </w:style>
  <w:style w:type="paragraph" w:styleId="1667" w:customStyle="1">
    <w:name w:val="xl99"/>
    <w:basedOn w:val="1020"/>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668" w:customStyle="1">
    <w:name w:val="xl363"/>
    <w:basedOn w:val="10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69" w:customStyle="1">
    <w:name w:val="Char1"/>
    <w:basedOn w:val="1020"/>
    <w:uiPriority w:val="0"/>
    <w:qFormat/>
    <w:pPr>
      <w:jc w:val="left"/>
      <w:spacing w:after="160" w:line="240" w:lineRule="exact"/>
      <w:widowControl/>
    </w:pPr>
    <w:rPr>
      <w:rFonts w:ascii="Times New Roman" w:hAnsi="Times New Roman" w:eastAsia="宋体"/>
      <w:szCs w:val="24"/>
    </w:rPr>
  </w:style>
  <w:style w:type="paragraph" w:styleId="1670" w:customStyle="1">
    <w:name w:val="xl28"/>
    <w:basedOn w:val="10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2"/>
    </w:rPr>
  </w:style>
  <w:style w:type="paragraph" w:styleId="1671" w:customStyle="1">
    <w:name w:val="TOC 标题11"/>
    <w:basedOn w:val="1020"/>
    <w:next w:val="1020"/>
    <w:uiPriority w:val="39"/>
    <w:unhideWhenUsed/>
    <w:qFormat/>
    <w:pPr>
      <w:ind w:firstLine="200"/>
      <w:jc w:val="left"/>
      <w:spacing w:before="240" w:line="259" w:lineRule="auto"/>
      <w:widowControl/>
    </w:pPr>
    <w:rPr>
      <w:rFonts w:ascii="等线 Light" w:hAnsi="等线 Light" w:eastAsia="等线 Light"/>
      <w:b/>
      <w:bCs/>
      <w:color w:val="2f5496"/>
      <w:sz w:val="32"/>
      <w:szCs w:val="32"/>
    </w:rPr>
  </w:style>
  <w:style w:type="paragraph" w:styleId="1672" w:customStyle="1">
    <w:name w:val="标题 H3"/>
    <w:basedOn w:val="1020"/>
    <w:next w:val="1020"/>
    <w:uiPriority w:val="0"/>
    <w:qFormat/>
    <w:pPr>
      <w:numPr>
        <w:ilvl w:val="2"/>
        <w:numId w:val="1"/>
      </w:numPr>
      <w:ind w:left="0" w:firstLine="0"/>
      <w:jc w:val="left"/>
      <w:spacing w:before="120" w:after="120" w:line="360" w:lineRule="auto"/>
      <w:outlineLvl w:val="2"/>
    </w:pPr>
    <w:rPr>
      <w:rFonts w:ascii="Times New Roman" w:hAnsi="Times New Roman" w:eastAsia="宋体"/>
      <w:b/>
      <w:sz w:val="24"/>
      <w:szCs w:val="24"/>
    </w:rPr>
  </w:style>
  <w:style w:type="paragraph" w:styleId="1673" w:customStyle="1">
    <w:name w:val="标题 H2"/>
    <w:basedOn w:val="1020"/>
    <w:next w:val="1020"/>
    <w:uiPriority w:val="0"/>
    <w:qFormat/>
    <w:pPr>
      <w:numPr>
        <w:ilvl w:val="1"/>
        <w:numId w:val="1"/>
      </w:numPr>
      <w:ind w:left="0" w:firstLine="0"/>
      <w:jc w:val="left"/>
      <w:spacing w:before="120" w:after="120" w:line="360" w:lineRule="auto"/>
      <w:outlineLvl w:val="1"/>
    </w:pPr>
    <w:rPr>
      <w:rFonts w:ascii="Times New Roman" w:hAnsi="Times New Roman" w:eastAsia="黑体"/>
      <w:sz w:val="28"/>
      <w:szCs w:val="24"/>
    </w:rPr>
  </w:style>
  <w:style w:type="paragraph" w:styleId="1674" w:customStyle="1">
    <w:name w:val="_Style 16"/>
    <w:basedOn w:val="1020"/>
    <w:next w:val="1327"/>
    <w:uiPriority w:val="99"/>
    <w:qFormat/>
    <w:pPr>
      <w:ind w:firstLine="420"/>
      <w:spacing w:line="360" w:lineRule="auto"/>
    </w:pPr>
    <w:rPr>
      <w:rFonts w:ascii="Calibri" w:hAnsi="Calibri" w:eastAsia="宋体"/>
      <w:sz w:val="24"/>
    </w:rPr>
  </w:style>
  <w:style w:type="table" w:styleId="1675" w:customStyle="1">
    <w:name w:val="网格型1"/>
    <w:basedOn w:val="1250"/>
    <w:uiPriority w:val="39"/>
    <w:qFormat/>
    <w:tblPr/>
  </w:style>
  <w:style w:type="table" w:styleId="1676" w:customStyle="1">
    <w:name w:val="自定网格1"/>
    <w:basedOn w:val="1250"/>
    <w:uiPriority w:val="39"/>
    <w:qFormat/>
    <w:pPr>
      <w:jc w:val="both"/>
      <w:widowControl w:val="off"/>
    </w:pPr>
    <w:tblPr/>
  </w:style>
  <w:style w:type="table" w:styleId="1677" w:customStyle="1">
    <w:name w:val="网格型2"/>
    <w:basedOn w:val="1250"/>
    <w:uiPriority w:val="39"/>
    <w:qFormat/>
    <w:pPr>
      <w:jc w:val="both"/>
      <w:widowControl w:val="off"/>
    </w:pPr>
    <w:tblPr/>
  </w:style>
  <w:style w:type="character" w:styleId="1678" w:customStyle="1">
    <w:name w:val="NormalCharacter1"/>
    <w:uiPriority w:val="0"/>
    <w:qFormat/>
  </w:style>
  <w:style w:type="character" w:styleId="1679" w:customStyle="1">
    <w:name w:val="列出段落 Char"/>
    <w:uiPriority w:val="34"/>
    <w:qFormat/>
    <w:rPr>
      <w:sz w:val="21"/>
      <w:szCs w:val="24"/>
    </w:rPr>
  </w:style>
  <w:style w:type="table" w:styleId="1680" w:customStyle="1">
    <w:name w:val="网格型3"/>
    <w:basedOn w:val="1250"/>
    <w:uiPriority w:val="39"/>
    <w:qFormat/>
    <w:rPr>
      <w:rFonts w:ascii="Calibri" w:hAnsi="Calibri"/>
    </w:rPr>
    <w:tblPr/>
  </w:style>
  <w:style w:type="table" w:styleId="1681" w:customStyle="1">
    <w:name w:val="网格型4"/>
    <w:basedOn w:val="1250"/>
    <w:uiPriority w:val="39"/>
    <w:qFormat/>
    <w:rPr>
      <w:rFonts w:ascii="Calibri" w:hAnsi="Calibri"/>
    </w:rPr>
    <w:tblPr/>
  </w:style>
  <w:style w:type="table" w:styleId="1682" w:customStyle="1">
    <w:name w:val="网格型5"/>
    <w:basedOn w:val="1250"/>
    <w:uiPriority w:val="39"/>
    <w:qFormat/>
    <w:rPr>
      <w:rFonts w:ascii="Calibri" w:hAnsi="Calibri"/>
    </w:rPr>
    <w:tblPr/>
  </w:style>
  <w:style w:type="table" w:styleId="1683" w:customStyle="1">
    <w:name w:val="网格型6"/>
    <w:basedOn w:val="1250"/>
    <w:uiPriority w:val="39"/>
    <w:qFormat/>
    <w:rPr>
      <w:rFonts w:ascii="Calibri" w:hAnsi="Calibri"/>
    </w:rPr>
    <w:tblPr/>
  </w:style>
  <w:style w:type="paragraph" w:styleId="1684" w:customStyle="1">
    <w:name w:val="引文目录1"/>
    <w:basedOn w:val="1020"/>
    <w:next w:val="1020"/>
    <w:uiPriority w:val="0"/>
    <w:qFormat/>
    <w:pPr>
      <w:ind w:left="420"/>
    </w:pPr>
  </w:style>
  <w:style w:type="paragraph" w:styleId="1685" w:customStyle="1">
    <w:name w:val="Table Text"/>
    <w:basedOn w:val="1020"/>
    <w:uiPriority w:val="0"/>
    <w:semiHidden/>
    <w:qFormat/>
    <w:rPr>
      <w:rFonts w:ascii="宋体" w:hAnsi="宋体" w:eastAsia="宋体" w:cs="宋体"/>
      <w:sz w:val="19"/>
      <w:szCs w:val="19"/>
      <w:lang w:eastAsia="en-US"/>
    </w:rPr>
  </w:style>
  <w:style w:type="table" w:styleId="1686" w:customStyle="1">
    <w:name w:val="Table Normal"/>
    <w:uiPriority w:val="0"/>
    <w:semiHidden/>
    <w:unhideWhenUsed/>
    <w:qFormat/>
    <w:tblPr>
      <w:tblCellMar>
        <w:left w:w="0" w:type="dxa"/>
        <w:top w:w="0" w:type="dxa"/>
        <w:right w:w="0" w:type="dxa"/>
        <w:bottom w:w="0" w:type="dxa"/>
      </w:tblCellMar>
    </w:tblPr>
  </w:style>
  <w:style w:type="character" w:styleId="1687" w:customStyle="1">
    <w:name w:val="font112"/>
    <w:basedOn w:val="1030"/>
    <w:uiPriority w:val="0"/>
    <w:qFormat/>
    <w:rPr>
      <w:rFonts w:hint="eastAsia" w:ascii="宋体" w:hAnsi="宋体" w:eastAsia="宋体" w:cs="宋体"/>
      <w:color w:val="000000"/>
      <w:sz w:val="20"/>
      <w:szCs w:val="20"/>
      <w:u w:val="none"/>
    </w:rPr>
  </w:style>
  <w:style w:type="paragraph" w:styleId="1688" w:customStyle="1">
    <w:name w:val="索引 411"/>
    <w:basedOn w:val="1020"/>
    <w:next w:val="1020"/>
    <w:uiPriority w:val="99"/>
    <w:qFormat/>
    <w:pPr>
      <w:ind w:left="600"/>
    </w:pPr>
    <w:rPr>
      <w:szCs w:val="24"/>
    </w:rPr>
  </w:style>
  <w:style w:type="paragraph" w:styleId="1689" w:customStyle="1">
    <w:name w:val="副标题11"/>
    <w:basedOn w:val="1020"/>
    <w:next w:val="1020"/>
    <w:uiPriority w:val="11"/>
    <w:qFormat/>
    <w:pPr>
      <w:spacing w:before="200" w:after="200"/>
    </w:pPr>
    <w:rPr>
      <w:sz w:val="24"/>
      <w:szCs w:val="24"/>
    </w:rPr>
  </w:style>
  <w:style w:type="paragraph" w:styleId="1690" w:customStyle="1">
    <w:name w:val="页眉11"/>
    <w:basedOn w:val="1020"/>
    <w:uiPriority w:val="99"/>
    <w:unhideWhenUsed/>
    <w:qFormat/>
    <w:pPr>
      <w:tabs>
        <w:tab w:val="center" w:pos="7143" w:leader="none"/>
        <w:tab w:val="right" w:pos="14287" w:leader="none"/>
      </w:tabs>
    </w:pPr>
  </w:style>
  <w:style w:type="character" w:styleId="1691" w:customStyle="1">
    <w:name w:val="font281"/>
    <w:basedOn w:val="1249"/>
    <w:link w:val="1020"/>
    <w:uiPriority w:val="0"/>
    <w:qFormat/>
    <w:rPr>
      <w:rFonts w:hint="eastAsia" w:ascii="宋体" w:hAnsi="宋体" w:eastAsia="宋体" w:cs="宋体"/>
      <w:b/>
      <w:bCs/>
      <w:color w:val="000000"/>
      <w:sz w:val="18"/>
      <w:szCs w:val="18"/>
      <w:u w:val="none"/>
    </w:rPr>
  </w:style>
  <w:style w:type="paragraph" w:styleId="1692" w:customStyle="1">
    <w:name w:val="02-标书-标题2"/>
    <w:uiPriority w:val="0"/>
    <w:qFormat/>
    <w:pPr>
      <w:numPr>
        <w:ilvl w:val="1"/>
        <w:numId w:val="2"/>
      </w:numPr>
      <w:spacing w:line="360" w:lineRule="auto"/>
      <w:outlineLvl w:val="1"/>
    </w:pPr>
    <w:rPr>
      <w:rFonts w:hint="default" w:ascii="黑体" w:hAnsi="宋体" w:eastAsia="黑体" w:cs="Calibri"/>
      <w:sz w:val="32"/>
      <w:szCs w:val="28"/>
      <w:lang w:val="en-US" w:eastAsia="zh-CN" w:bidi="ar-SA"/>
    </w:rPr>
  </w:style>
  <w:style w:type="paragraph" w:styleId="1693" w:customStyle="1">
    <w:name w:val="Heading 2"/>
    <w:next w:val="1020"/>
    <w:uiPriority w:val="9"/>
    <w:unhideWhenUsed/>
    <w:qFormat/>
    <w:pPr>
      <w:jc w:val="both"/>
      <w:keepLines/>
      <w:keepNext/>
      <w:spacing w:before="360" w:after="200"/>
      <w:widowControl w:val="off"/>
      <w:outlineLvl w:val="1"/>
    </w:pPr>
    <w:rPr>
      <w:rFonts w:hint="default" w:ascii="Arial" w:hAnsi="Arial" w:eastAsia="Arial" w:cs="Arial"/>
      <w:sz w:val="34"/>
      <w:szCs w:val="22"/>
      <w:lang w:eastAsia="zh-CN"/>
    </w:rPr>
  </w:style>
  <w:style w:type="character" w:styleId="1694" w:customStyle="1">
    <w:name w:val="NormalCharacter"/>
    <w:uiPriority w:val="0"/>
    <w:qFormat/>
  </w:style>
  <w:style w:type="paragraph" w:styleId="1695" w:customStyle="1">
    <w:name w:val="普通正文"/>
    <w:basedOn w:val="1020"/>
    <w:uiPriority w:val="0"/>
    <w:qFormat/>
    <w:pPr>
      <w:ind w:firstLine="480"/>
      <w:jc w:val="left"/>
      <w:spacing w:before="120" w:after="120" w:line="360" w:lineRule="auto"/>
    </w:pPr>
    <w:rPr>
      <w:rFonts w:ascii="Arial" w:hAnsi="Arial"/>
      <w:sz w:val="24"/>
      <w:szCs w:val="24"/>
    </w:rPr>
  </w:style>
  <w:style w:type="numbering" w:styleId="16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岳鹏翔</cp:lastModifiedBy>
  <cp:revision>23</cp:revision>
  <dcterms:created xsi:type="dcterms:W3CDTF">2024-05-21T08:20:00Z</dcterms:created>
  <dcterms:modified xsi:type="dcterms:W3CDTF">2026-05-25T07:50:33Z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5CB77EE461424194A6EC8237948390F0</vt:lpwstr>
  </property>
  <property fmtid="{D5CDD505-2E9C-101B-9397-08002B2CF9AE}" pid="4" name="KSOTemplateDocerSaveRecord">
    <vt:lpwstr>eyJoZGlkIjoiOWJmMTViMDUyMTc3YjYzZDg4YTM4YTE1ODgwMWZmZmIiLCJ1c2VySWQiOiIxMzc5NjEyNDY0In0=</vt:lpwstr>
  </property>
</Properties>
</file>